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exact" w:line="600"/>
        <w:rPr>
          <w:rFonts w:ascii="Times New Roman" w:eastAsia="宋体" w:hAnsi="Times New Roman"/>
          <w:bCs/>
          <w:sz w:val="32"/>
          <w:szCs w:val="32"/>
        </w:rPr>
      </w:pPr>
      <w:r>
        <w:rPr>
          <w:rFonts w:ascii="Times New Roman" w:eastAsia="宋体" w:hAnsi="Times New Roman" w:hint="eastAsia"/>
          <w:bCs/>
          <w:sz w:val="32"/>
          <w:szCs w:val="32"/>
        </w:rPr>
        <w:t>附件2：</w:t>
      </w:r>
    </w:p>
    <w:p>
      <w:pPr>
        <w:pStyle w:val="style0"/>
        <w:spacing w:lineRule="exact" w:line="600"/>
        <w:jc w:val="center"/>
        <w:rPr>
          <w:rFonts w:ascii="Times New Roman" w:eastAsia="宋体" w:hAnsi="Times New Roman"/>
          <w:b/>
          <w:bCs/>
          <w:sz w:val="36"/>
          <w:szCs w:val="36"/>
        </w:rPr>
      </w:pPr>
      <w:r>
        <w:rPr>
          <w:rFonts w:ascii="Times New Roman" w:eastAsia="宋体" w:hAnsi="Times New Roman" w:hint="eastAsia"/>
          <w:b/>
          <w:bCs/>
          <w:sz w:val="36"/>
          <w:szCs w:val="36"/>
        </w:rPr>
        <w:t>江西工业贸易职业技术学院</w:t>
      </w:r>
    </w:p>
    <w:p>
      <w:pPr>
        <w:pStyle w:val="style0"/>
        <w:spacing w:lineRule="exact" w:line="600"/>
        <w:jc w:val="center"/>
        <w:rPr>
          <w:rFonts w:ascii="Times New Roman" w:eastAsia="宋体" w:hAnsi="Times New Roman"/>
          <w:b/>
          <w:bCs/>
          <w:sz w:val="36"/>
          <w:szCs w:val="36"/>
        </w:rPr>
      </w:pPr>
      <w:r>
        <w:rPr>
          <w:rFonts w:ascii="Times New Roman" w:eastAsia="宋体" w:hAnsi="Times New Roman" w:hint="eastAsia"/>
          <w:b/>
          <w:kern w:val="0"/>
          <w:sz w:val="36"/>
          <w:szCs w:val="36"/>
        </w:rPr>
        <w:t>电子商务</w:t>
      </w:r>
      <w:r>
        <w:rPr>
          <w:rFonts w:ascii="Times New Roman" w:eastAsia="宋体" w:hAnsi="Times New Roman" w:hint="eastAsia"/>
          <w:b/>
          <w:bCs/>
          <w:sz w:val="36"/>
          <w:szCs w:val="36"/>
        </w:rPr>
        <w:t>专业高职人才培养方案</w:t>
      </w:r>
    </w:p>
    <w:p>
      <w:pPr>
        <w:pStyle w:val="style0"/>
        <w:spacing w:lineRule="exact" w:line="360"/>
        <w:ind w:firstLine="480" w:firstLineChars="200"/>
        <w:jc w:val="center"/>
        <w:rPr>
          <w:rFonts w:ascii="Times New Roman" w:eastAsia="宋体" w:hAnsi="Times New Roman"/>
          <w:bCs/>
          <w:sz w:val="24"/>
        </w:rPr>
      </w:pPr>
    </w:p>
    <w:bookmarkStart w:id="0" w:name="_Toc327706725"/>
    <w:p>
      <w:pPr>
        <w:pStyle w:val="style0"/>
        <w:snapToGrid w:val="false"/>
        <w:spacing w:lineRule="exact" w:line="380"/>
        <w:ind w:firstLine="482" w:firstLineChars="200"/>
        <w:outlineLvl w:val="0"/>
        <w:rPr>
          <w:rFonts w:ascii="Times New Roman" w:eastAsia="宋体" w:hAnsi="Times New Roman"/>
          <w:sz w:val="24"/>
        </w:rPr>
      </w:pPr>
      <w:r>
        <w:rPr>
          <w:rFonts w:ascii="Times New Roman" w:eastAsia="宋体" w:hAnsi="Times New Roman" w:hint="eastAsia"/>
          <w:b/>
          <w:sz w:val="24"/>
        </w:rPr>
        <w:t>一、招生对象与学制</w:t>
      </w:r>
      <w:bookmarkEnd w:id="0"/>
    </w:p>
    <w:bookmarkStart w:id="1" w:name="_Toc327706726"/>
    <w:bookmarkStart w:id="2" w:name="_Toc327706727"/>
    <w:p>
      <w:pPr>
        <w:pStyle w:val="style0"/>
        <w:snapToGrid w:val="false"/>
        <w:spacing w:lineRule="exact" w:line="380"/>
        <w:ind w:firstLine="420" w:firstLineChars="200"/>
        <w:outlineLvl w:val="1"/>
        <w:rPr>
          <w:rFonts w:ascii="Times New Roman" w:eastAsia="宋体" w:hAnsi="Times New Roman"/>
          <w:szCs w:val="21"/>
        </w:rPr>
      </w:pPr>
      <w:r>
        <w:rPr>
          <w:rFonts w:ascii="Times New Roman" w:eastAsia="宋体" w:hAnsi="Times New Roman" w:hint="eastAsia"/>
          <w:szCs w:val="21"/>
        </w:rPr>
        <w:t>（一）招生对象</w:t>
      </w:r>
      <w:bookmarkEnd w:id="1"/>
    </w:p>
    <w:p>
      <w:pPr>
        <w:pStyle w:val="style0"/>
        <w:snapToGrid w:val="false"/>
        <w:spacing w:lineRule="exact" w:line="380"/>
        <w:ind w:firstLine="420" w:firstLineChars="200"/>
        <w:rPr>
          <w:rFonts w:ascii="Times New Roman" w:cs="Times New Roman" w:eastAsia="宋体" w:hAnsi="Times New Roman"/>
          <w:szCs w:val="21"/>
        </w:rPr>
      </w:pPr>
      <w:r>
        <w:rPr>
          <w:rFonts w:ascii="Times New Roman" w:cs="Times New Roman" w:eastAsia="宋体" w:hAnsi="Times New Roman" w:hint="eastAsia"/>
          <w:szCs w:val="21"/>
        </w:rPr>
        <w:t>普通高中毕业生及同等学历者。</w:t>
      </w:r>
    </w:p>
    <w:p>
      <w:pPr>
        <w:pStyle w:val="style0"/>
        <w:snapToGrid w:val="false"/>
        <w:spacing w:lineRule="exact" w:line="380"/>
        <w:ind w:firstLine="420" w:firstLineChars="200"/>
        <w:outlineLvl w:val="1"/>
        <w:rPr>
          <w:rFonts w:ascii="Times New Roman" w:eastAsia="宋体" w:hAnsi="Times New Roman"/>
          <w:szCs w:val="21"/>
        </w:rPr>
      </w:pPr>
      <w:r>
        <w:rPr>
          <w:rFonts w:ascii="Times New Roman" w:eastAsia="宋体" w:hAnsi="Times New Roman" w:hint="eastAsia"/>
          <w:szCs w:val="21"/>
        </w:rPr>
        <w:t>（二）学制</w:t>
      </w:r>
      <w:bookmarkEnd w:id="2"/>
    </w:p>
    <w:p>
      <w:pPr>
        <w:pStyle w:val="style0"/>
        <w:snapToGrid w:val="false"/>
        <w:spacing w:lineRule="exact" w:line="380"/>
        <w:ind w:firstLine="420" w:firstLineChars="200"/>
        <w:rPr>
          <w:rFonts w:ascii="Times New Roman" w:cs="Times New Roman" w:eastAsia="宋体" w:hAnsi="Times New Roman"/>
          <w:szCs w:val="21"/>
        </w:rPr>
      </w:pPr>
      <w:r>
        <w:rPr>
          <w:rFonts w:ascii="Times New Roman" w:cs="Times New Roman" w:eastAsia="宋体" w:hAnsi="Times New Roman" w:hint="eastAsia"/>
          <w:szCs w:val="21"/>
        </w:rPr>
        <w:t>全日制3年。</w:t>
      </w:r>
    </w:p>
    <w:bookmarkStart w:id="3" w:name="_Toc327706728"/>
    <w:p>
      <w:pPr>
        <w:pStyle w:val="style0"/>
        <w:snapToGrid w:val="false"/>
        <w:spacing w:lineRule="exact" w:line="380"/>
        <w:ind w:firstLine="482" w:firstLineChars="200"/>
        <w:outlineLvl w:val="0"/>
        <w:rPr>
          <w:rFonts w:ascii="Times New Roman" w:eastAsia="宋体" w:hAnsi="Times New Roman"/>
          <w:b/>
          <w:sz w:val="24"/>
        </w:rPr>
      </w:pPr>
      <w:r>
        <w:rPr>
          <w:rFonts w:ascii="Times New Roman" w:eastAsia="宋体" w:hAnsi="Times New Roman" w:hint="eastAsia"/>
          <w:b/>
          <w:sz w:val="24"/>
        </w:rPr>
        <w:t>二、专业人才培养目标</w:t>
      </w:r>
      <w:bookmarkEnd w:id="3"/>
    </w:p>
    <w:bookmarkStart w:id="4" w:name="_Toc327706729"/>
    <w:p>
      <w:pPr>
        <w:pStyle w:val="style0"/>
        <w:snapToGrid w:val="false"/>
        <w:spacing w:lineRule="exact" w:line="380"/>
        <w:ind w:firstLine="420" w:firstLineChars="200"/>
        <w:rPr>
          <w:rFonts w:ascii="宋体" w:cs="Times New Roman" w:eastAsia="宋体" w:hAnsi="宋体"/>
          <w:szCs w:val="21"/>
        </w:rPr>
      </w:pPr>
      <w:r>
        <w:rPr>
          <w:rFonts w:ascii="宋体" w:cs="Times New Roman" w:eastAsia="宋体" w:hAnsi="宋体"/>
          <w:szCs w:val="21"/>
        </w:rPr>
        <w:t>本专业结合</w:t>
      </w:r>
      <w:r>
        <w:rPr>
          <w:rFonts w:ascii="宋体" w:cs="Times New Roman" w:eastAsia="宋体" w:hAnsi="宋体" w:hint="eastAsia"/>
          <w:szCs w:val="21"/>
        </w:rPr>
        <w:t>江西省及长三角、珠三角等区域</w:t>
      </w:r>
      <w:r>
        <w:rPr>
          <w:rFonts w:ascii="宋体" w:cs="Times New Roman" w:eastAsia="宋体" w:hAnsi="宋体"/>
          <w:szCs w:val="21"/>
        </w:rPr>
        <w:t>经济社会发展对人才的需求，依托</w:t>
      </w:r>
      <w:r>
        <w:rPr>
          <w:rFonts w:ascii="宋体" w:cs="Times New Roman" w:eastAsia="宋体" w:hAnsi="宋体" w:hint="eastAsia"/>
          <w:szCs w:val="21"/>
        </w:rPr>
        <w:t>电子</w:t>
      </w:r>
      <w:r>
        <w:rPr>
          <w:rFonts w:ascii="宋体" w:cs="Times New Roman" w:eastAsia="宋体" w:hAnsi="宋体"/>
          <w:szCs w:val="21"/>
        </w:rPr>
        <w:t>商务</w:t>
      </w:r>
      <w:r>
        <w:rPr>
          <w:rFonts w:ascii="宋体" w:cs="Times New Roman" w:eastAsia="宋体" w:hAnsi="宋体" w:hint="eastAsia"/>
          <w:szCs w:val="21"/>
        </w:rPr>
        <w:t>、电子商务外包服务等销售</w:t>
      </w:r>
      <w:r>
        <w:rPr>
          <w:rFonts w:ascii="宋体" w:cs="Times New Roman" w:eastAsia="宋体" w:hAnsi="宋体"/>
          <w:szCs w:val="21"/>
        </w:rPr>
        <w:t>行业，与</w:t>
      </w:r>
      <w:r>
        <w:rPr>
          <w:rFonts w:ascii="宋体" w:cs="Times New Roman" w:eastAsia="宋体" w:hAnsi="宋体" w:hint="eastAsia"/>
          <w:szCs w:val="21"/>
        </w:rPr>
        <w:t>电子</w:t>
      </w:r>
      <w:r>
        <w:rPr>
          <w:rFonts w:ascii="宋体" w:cs="Times New Roman" w:eastAsia="宋体" w:hAnsi="宋体"/>
          <w:szCs w:val="21"/>
        </w:rPr>
        <w:t>商务</w:t>
      </w:r>
      <w:r>
        <w:rPr>
          <w:rFonts w:ascii="宋体" w:cs="Times New Roman" w:eastAsia="宋体" w:hAnsi="宋体" w:hint="eastAsia"/>
          <w:szCs w:val="21"/>
        </w:rPr>
        <w:t>类企业、电子商务外包服务类等中小型</w:t>
      </w:r>
      <w:r>
        <w:rPr>
          <w:rFonts w:ascii="宋体" w:cs="Times New Roman" w:eastAsia="宋体" w:hAnsi="宋体"/>
          <w:szCs w:val="21"/>
        </w:rPr>
        <w:t>企业合作，培养</w:t>
      </w:r>
      <w:r>
        <w:rPr>
          <w:rFonts w:ascii="宋体" w:cs="Times New Roman" w:eastAsia="宋体" w:hAnsi="宋体" w:hint="eastAsia"/>
          <w:szCs w:val="21"/>
        </w:rPr>
        <w:t>面向电子商务领域</w:t>
      </w:r>
      <w:r>
        <w:rPr>
          <w:rFonts w:ascii="宋体" w:cs="Times New Roman" w:eastAsia="宋体" w:hAnsi="宋体"/>
          <w:szCs w:val="21"/>
        </w:rPr>
        <w:t>从事</w:t>
      </w:r>
      <w:r>
        <w:rPr>
          <w:rFonts w:ascii="宋体" w:cs="Times New Roman" w:eastAsia="宋体" w:hAnsi="宋体" w:hint="eastAsia"/>
          <w:szCs w:val="21"/>
        </w:rPr>
        <w:t>美工、推广、运营（营销策划）、电商文案专员等</w:t>
      </w:r>
      <w:r>
        <w:rPr>
          <w:rFonts w:ascii="宋体" w:cs="Times New Roman" w:eastAsia="宋体" w:hAnsi="宋体"/>
          <w:szCs w:val="21"/>
        </w:rPr>
        <w:t>工作，德智体美</w:t>
      </w:r>
      <w:r>
        <w:rPr>
          <w:rFonts w:ascii="宋体" w:cs="Times New Roman" w:eastAsia="宋体" w:hAnsi="宋体" w:hint="eastAsia"/>
          <w:szCs w:val="21"/>
        </w:rPr>
        <w:t>劳</w:t>
      </w:r>
      <w:r>
        <w:rPr>
          <w:rFonts w:ascii="宋体" w:cs="Times New Roman" w:eastAsia="宋体" w:hAnsi="宋体"/>
          <w:szCs w:val="21"/>
        </w:rPr>
        <w:t>全面发展</w:t>
      </w:r>
      <w:r>
        <w:rPr>
          <w:rFonts w:ascii="宋体" w:cs="Times New Roman" w:eastAsia="宋体" w:hAnsi="宋体" w:hint="eastAsia"/>
          <w:szCs w:val="21"/>
        </w:rPr>
        <w:t>，</w:t>
      </w:r>
      <w:r>
        <w:rPr>
          <w:rFonts w:ascii="宋体" w:cs="Times New Roman" w:eastAsia="宋体" w:hAnsi="宋体"/>
          <w:szCs w:val="21"/>
        </w:rPr>
        <w:t>践行社会主义核心价值观</w:t>
      </w:r>
      <w:r>
        <w:rPr>
          <w:rFonts w:ascii="宋体" w:cs="Times New Roman" w:eastAsia="宋体" w:hAnsi="宋体" w:hint="eastAsia"/>
          <w:szCs w:val="21"/>
        </w:rPr>
        <w:t>，</w:t>
      </w:r>
      <w:r>
        <w:rPr>
          <w:rFonts w:ascii="宋体" w:cs="Times New Roman" w:eastAsia="宋体" w:hAnsi="宋体"/>
          <w:szCs w:val="21"/>
        </w:rPr>
        <w:t>具有一定的文化水平、良好的职业道德和人文素养，具备工匠精神，具有创新思维、创新精神、创新创业意识和创新创业能力的高素质技术技能型人才。</w:t>
      </w:r>
    </w:p>
    <w:p>
      <w:pPr>
        <w:pStyle w:val="style0"/>
        <w:snapToGrid w:val="false"/>
        <w:spacing w:lineRule="exact" w:line="380"/>
        <w:ind w:firstLine="482" w:firstLineChars="200"/>
        <w:outlineLvl w:val="0"/>
        <w:rPr>
          <w:rFonts w:ascii="Times New Roman" w:eastAsia="宋体" w:hAnsi="Times New Roman"/>
          <w:b/>
          <w:sz w:val="24"/>
        </w:rPr>
      </w:pPr>
      <w:r>
        <w:rPr>
          <w:rFonts w:ascii="Times New Roman" w:eastAsia="宋体" w:hAnsi="Times New Roman" w:hint="eastAsia"/>
          <w:b/>
          <w:sz w:val="24"/>
        </w:rPr>
        <w:t>三、职业面向</w:t>
      </w:r>
      <w:bookmarkEnd w:id="4"/>
    </w:p>
    <w:p>
      <w:pPr>
        <w:pStyle w:val="style0"/>
        <w:snapToGrid w:val="false"/>
        <w:spacing w:lineRule="exact" w:line="380"/>
        <w:ind w:firstLine="420" w:firstLineChars="200"/>
        <w:outlineLvl w:val="1"/>
        <w:rPr>
          <w:rFonts w:ascii="Times New Roman" w:eastAsia="宋体" w:hAnsi="Times New Roman"/>
          <w:szCs w:val="21"/>
        </w:rPr>
      </w:pPr>
      <w:r>
        <w:rPr>
          <w:rFonts w:ascii="Times New Roman" w:eastAsia="宋体" w:hAnsi="Times New Roman" w:hint="eastAsia"/>
          <w:szCs w:val="21"/>
        </w:rPr>
        <w:t>（一）首次就业岗位及主要工作项目</w:t>
      </w:r>
    </w:p>
    <w:p>
      <w:pPr>
        <w:pStyle w:val="style0"/>
        <w:numPr>
          <w:ilvl w:val="0"/>
          <w:numId w:val="1"/>
        </w:numPr>
        <w:spacing w:lineRule="exact" w:line="380"/>
        <w:rPr>
          <w:rFonts w:ascii="宋体" w:cs="宋体" w:eastAsia="宋体" w:hAnsi="宋体"/>
        </w:rPr>
      </w:pPr>
      <w:r>
        <w:rPr>
          <w:rFonts w:ascii="宋体" w:cs="宋体" w:eastAsia="宋体" w:hAnsi="宋体" w:hint="eastAsia"/>
        </w:rPr>
        <w:t>视觉</w:t>
      </w:r>
      <w:r>
        <w:rPr>
          <w:rFonts w:ascii="宋体" w:cs="宋体" w:eastAsia="宋体" w:hAnsi="宋体"/>
        </w:rPr>
        <w:t>营销专员</w:t>
      </w:r>
      <w:r>
        <w:rPr>
          <w:rFonts w:ascii="宋体" w:cs="宋体" w:eastAsia="宋体" w:hAnsi="宋体" w:hint="eastAsia"/>
        </w:rPr>
        <w:t>，其主要工作项目为：</w:t>
      </w:r>
    </w:p>
    <w:p>
      <w:pPr>
        <w:pStyle w:val="style0"/>
        <w:numPr>
          <w:ilvl w:val="0"/>
          <w:numId w:val="2"/>
        </w:numPr>
        <w:spacing w:lineRule="exact" w:line="380"/>
        <w:ind w:left="993" w:hanging="573"/>
        <w:rPr>
          <w:rFonts w:ascii="宋体" w:cs="宋体" w:eastAsia="宋体" w:hAnsi="宋体"/>
        </w:rPr>
      </w:pPr>
      <w:r>
        <w:rPr>
          <w:rFonts w:ascii="宋体" w:cs="宋体" w:eastAsia="宋体" w:hAnsi="宋体" w:hint="eastAsia"/>
        </w:rPr>
        <w:t>负责淘宝店铺、网站的美工设计，图片处理，要求对户外用品有一定敏感度，能用简介文案表达产品的卖点；</w:t>
      </w:r>
    </w:p>
    <w:p>
      <w:pPr>
        <w:pStyle w:val="style0"/>
        <w:numPr>
          <w:ilvl w:val="0"/>
          <w:numId w:val="2"/>
        </w:numPr>
        <w:spacing w:lineRule="exact" w:line="380"/>
        <w:ind w:left="993" w:hanging="573"/>
        <w:rPr>
          <w:rFonts w:ascii="宋体" w:cs="宋体" w:eastAsia="宋体" w:hAnsi="宋体"/>
        </w:rPr>
      </w:pPr>
      <w:r>
        <w:rPr>
          <w:rFonts w:ascii="宋体" w:cs="宋体" w:eastAsia="宋体" w:hAnsi="宋体" w:hint="eastAsia"/>
        </w:rPr>
        <w:t>熟悉网页焦点理论，对网页布局有丰富经验；对色彩敏感，能处理各种视觉冲突，有良好的审美观；</w:t>
      </w:r>
    </w:p>
    <w:p>
      <w:pPr>
        <w:pStyle w:val="style0"/>
        <w:numPr>
          <w:ilvl w:val="0"/>
          <w:numId w:val="2"/>
        </w:numPr>
        <w:spacing w:lineRule="exact" w:line="380"/>
        <w:ind w:left="993" w:hanging="573"/>
        <w:rPr>
          <w:rFonts w:ascii="宋体" w:cs="宋体" w:eastAsia="宋体" w:hAnsi="宋体"/>
        </w:rPr>
      </w:pPr>
      <w:r>
        <w:rPr>
          <w:rFonts w:ascii="宋体" w:cs="宋体" w:eastAsia="宋体" w:hAnsi="宋体" w:hint="eastAsia"/>
        </w:rPr>
        <w:t>负责每款商品的设计和美化，包括拍照及图片修改和制作、动画、动态广告条等的设计，商品展示模板设计，日常产品维护、调整、美化；</w:t>
      </w:r>
    </w:p>
    <w:p>
      <w:pPr>
        <w:pStyle w:val="style0"/>
        <w:numPr>
          <w:ilvl w:val="0"/>
          <w:numId w:val="2"/>
        </w:numPr>
        <w:spacing w:lineRule="exact" w:line="380"/>
        <w:ind w:left="993" w:hanging="573"/>
        <w:rPr>
          <w:rFonts w:ascii="宋体" w:cs="宋体" w:eastAsia="宋体" w:hAnsi="宋体"/>
        </w:rPr>
      </w:pPr>
      <w:r>
        <w:rPr>
          <w:rFonts w:ascii="宋体" w:cs="宋体" w:eastAsia="宋体" w:hAnsi="宋体" w:hint="eastAsia"/>
        </w:rPr>
        <w:t>能独立完成淘宝店铺的主页美化，制作促销、描述模板，根据公司产品的上架情况和促销信息自主制作促销广告位，对拍摄后的产品图进行校色、美化处理；</w:t>
      </w:r>
    </w:p>
    <w:p>
      <w:pPr>
        <w:pStyle w:val="style0"/>
        <w:numPr>
          <w:ilvl w:val="0"/>
          <w:numId w:val="2"/>
        </w:numPr>
        <w:spacing w:lineRule="exact" w:line="380"/>
        <w:ind w:left="993" w:hanging="573"/>
        <w:rPr>
          <w:rFonts w:ascii="宋体" w:cs="宋体" w:eastAsia="宋体" w:hAnsi="宋体"/>
        </w:rPr>
      </w:pPr>
      <w:r>
        <w:rPr>
          <w:rFonts w:ascii="宋体" w:cs="宋体" w:eastAsia="宋体" w:hAnsi="宋体" w:hint="eastAsia"/>
        </w:rPr>
        <w:t>站在用户角度去思考，提高网站的可用性，优化设计；</w:t>
      </w:r>
    </w:p>
    <w:p>
      <w:pPr>
        <w:pStyle w:val="style0"/>
        <w:numPr>
          <w:ilvl w:val="0"/>
          <w:numId w:val="2"/>
        </w:numPr>
        <w:spacing w:lineRule="exact" w:line="380"/>
        <w:ind w:left="993" w:hanging="573"/>
        <w:rPr>
          <w:rFonts w:ascii="宋体" w:cs="宋体" w:eastAsia="宋体" w:hAnsi="宋体"/>
        </w:rPr>
      </w:pPr>
      <w:r>
        <w:rPr>
          <w:rFonts w:ascii="宋体" w:cs="宋体" w:eastAsia="宋体" w:hAnsi="宋体" w:hint="eastAsia"/>
        </w:rPr>
        <w:t>能够挖掘消费者的浏览习惯和点击需求；</w:t>
      </w:r>
    </w:p>
    <w:p>
      <w:pPr>
        <w:pStyle w:val="style0"/>
        <w:numPr>
          <w:ilvl w:val="0"/>
          <w:numId w:val="2"/>
        </w:numPr>
        <w:spacing w:lineRule="exact" w:line="380"/>
        <w:ind w:left="993" w:hanging="573"/>
        <w:rPr>
          <w:rFonts w:ascii="宋体" w:cs="宋体" w:eastAsia="宋体" w:hAnsi="宋体"/>
        </w:rPr>
      </w:pPr>
      <w:r>
        <w:rPr>
          <w:rFonts w:ascii="宋体" w:cs="宋体" w:eastAsia="宋体" w:hAnsi="宋体" w:hint="eastAsia"/>
        </w:rPr>
        <w:t>负责上级交办的其他设计工作。</w:t>
      </w:r>
    </w:p>
    <w:p>
      <w:pPr>
        <w:pStyle w:val="style0"/>
        <w:numPr>
          <w:ilvl w:val="0"/>
          <w:numId w:val="1"/>
        </w:numPr>
        <w:spacing w:lineRule="exact" w:line="380"/>
        <w:rPr>
          <w:rFonts w:ascii="宋体" w:cs="宋体" w:eastAsia="宋体" w:hAnsi="宋体"/>
        </w:rPr>
      </w:pPr>
      <w:r>
        <w:rPr>
          <w:rFonts w:ascii="宋体" w:cs="宋体" w:eastAsia="宋体" w:hAnsi="宋体" w:hint="eastAsia"/>
        </w:rPr>
        <w:t>网络营销策划员（网</w:t>
      </w:r>
      <w:r>
        <w:rPr>
          <w:rFonts w:ascii="宋体" w:cs="宋体" w:eastAsia="宋体" w:hAnsi="宋体"/>
        </w:rPr>
        <w:t>店</w:t>
      </w:r>
      <w:r>
        <w:rPr>
          <w:rFonts w:ascii="宋体" w:cs="宋体" w:eastAsia="宋体" w:hAnsi="宋体" w:hint="eastAsia"/>
        </w:rPr>
        <w:t>运营推广），其主要工作项目为：</w:t>
      </w:r>
    </w:p>
    <w:p>
      <w:pPr>
        <w:pStyle w:val="style0"/>
        <w:numPr>
          <w:ilvl w:val="0"/>
          <w:numId w:val="3"/>
        </w:numPr>
        <w:spacing w:lineRule="exact" w:line="380"/>
        <w:ind w:left="993" w:hanging="573"/>
        <w:rPr>
          <w:rFonts w:ascii="宋体" w:cs="宋体" w:eastAsia="宋体" w:hAnsi="宋体"/>
        </w:rPr>
      </w:pPr>
      <w:r>
        <w:rPr>
          <w:rFonts w:ascii="宋体" w:cs="宋体" w:eastAsia="宋体" w:hAnsi="宋体" w:hint="eastAsia"/>
        </w:rPr>
        <w:t>熟悉淘宝的运营环境、交易规则、淘宝推广，负责网店的推广工作；</w:t>
      </w:r>
    </w:p>
    <w:p>
      <w:pPr>
        <w:pStyle w:val="style0"/>
        <w:numPr>
          <w:ilvl w:val="0"/>
          <w:numId w:val="3"/>
        </w:numPr>
        <w:spacing w:lineRule="exact" w:line="380"/>
        <w:ind w:left="993" w:hanging="573"/>
        <w:rPr>
          <w:rFonts w:ascii="宋体" w:cs="宋体" w:eastAsia="宋体" w:hAnsi="宋体"/>
        </w:rPr>
      </w:pPr>
      <w:r>
        <w:rPr>
          <w:rFonts w:ascii="宋体" w:cs="宋体" w:eastAsia="宋体" w:hAnsi="宋体" w:hint="eastAsia"/>
        </w:rPr>
        <w:t>熟练掌握软文、交换链接、邮件推广、SNS推广、论坛推广及其他推广方式；</w:t>
      </w:r>
    </w:p>
    <w:p>
      <w:pPr>
        <w:pStyle w:val="style0"/>
        <w:numPr>
          <w:ilvl w:val="0"/>
          <w:numId w:val="3"/>
        </w:numPr>
        <w:spacing w:lineRule="exact" w:line="380"/>
        <w:ind w:left="993" w:hanging="573"/>
        <w:rPr>
          <w:rFonts w:ascii="宋体" w:cs="宋体" w:eastAsia="宋体" w:hAnsi="宋体"/>
        </w:rPr>
      </w:pPr>
      <w:r>
        <w:rPr>
          <w:rFonts w:ascii="宋体" w:cs="宋体" w:eastAsia="宋体" w:hAnsi="宋体" w:hint="eastAsia"/>
        </w:rPr>
        <w:t>跟踪网店平台的运作规则，市场环境和竞争对手，及时调整网店运营；</w:t>
      </w:r>
    </w:p>
    <w:p>
      <w:pPr>
        <w:pStyle w:val="style0"/>
        <w:numPr>
          <w:ilvl w:val="0"/>
          <w:numId w:val="3"/>
        </w:numPr>
        <w:spacing w:lineRule="exact" w:line="380"/>
        <w:ind w:left="993" w:hanging="573"/>
        <w:rPr>
          <w:rFonts w:ascii="宋体" w:cs="宋体" w:eastAsia="宋体" w:hAnsi="宋体"/>
        </w:rPr>
      </w:pPr>
      <w:r>
        <w:rPr>
          <w:rFonts w:ascii="宋体" w:cs="宋体" w:eastAsia="宋体" w:hAnsi="宋体" w:hint="eastAsia"/>
        </w:rPr>
        <w:t>监测负责网店的运营水平，帮助制定标准作业流程和跟踪执行；</w:t>
      </w:r>
    </w:p>
    <w:p>
      <w:pPr>
        <w:pStyle w:val="style0"/>
        <w:numPr>
          <w:ilvl w:val="0"/>
          <w:numId w:val="3"/>
        </w:numPr>
        <w:spacing w:lineRule="exact" w:line="380"/>
        <w:ind w:left="993" w:hanging="573"/>
        <w:rPr>
          <w:rFonts w:ascii="宋体" w:cs="宋体" w:eastAsia="宋体" w:hAnsi="宋体"/>
        </w:rPr>
      </w:pPr>
      <w:r>
        <w:rPr>
          <w:rFonts w:ascii="宋体" w:cs="宋体" w:eastAsia="宋体" w:hAnsi="宋体" w:hint="eastAsia"/>
        </w:rPr>
        <w:t>协助网店商品描述信息的整理，上线和维护；</w:t>
      </w:r>
    </w:p>
    <w:p>
      <w:pPr>
        <w:pStyle w:val="style0"/>
        <w:numPr>
          <w:ilvl w:val="0"/>
          <w:numId w:val="3"/>
        </w:numPr>
        <w:spacing w:lineRule="exact" w:line="380"/>
        <w:ind w:left="993" w:hanging="573"/>
        <w:rPr>
          <w:rFonts w:ascii="宋体" w:cs="宋体" w:eastAsia="宋体" w:hAnsi="宋体"/>
        </w:rPr>
      </w:pPr>
      <w:r>
        <w:rPr>
          <w:rFonts w:ascii="宋体" w:cs="宋体" w:eastAsia="宋体" w:hAnsi="宋体" w:hint="eastAsia"/>
        </w:rPr>
        <w:t>负责协调内部各部门为达成优质顾客服务和经营业绩配合工作及日常管理工作；</w:t>
      </w:r>
    </w:p>
    <w:p>
      <w:pPr>
        <w:pStyle w:val="style0"/>
        <w:numPr>
          <w:ilvl w:val="0"/>
          <w:numId w:val="3"/>
        </w:numPr>
        <w:spacing w:lineRule="exact" w:line="380"/>
        <w:ind w:left="993" w:hanging="573"/>
        <w:rPr>
          <w:rFonts w:ascii="Times New Roman" w:eastAsia="宋体" w:hAnsi="Times New Roman"/>
          <w:szCs w:val="21"/>
        </w:rPr>
      </w:pPr>
      <w:r>
        <w:rPr>
          <w:rFonts w:ascii="宋体" w:cs="宋体" w:eastAsia="宋体" w:hAnsi="宋体" w:hint="eastAsia"/>
        </w:rPr>
        <w:t>负责营运部的外部合作伙伴和项目协调工作。</w:t>
      </w:r>
    </w:p>
    <w:p>
      <w:pPr>
        <w:pStyle w:val="style0"/>
        <w:snapToGrid w:val="false"/>
        <w:spacing w:lineRule="exact" w:line="380"/>
        <w:ind w:firstLine="420" w:firstLineChars="200"/>
        <w:outlineLvl w:val="1"/>
        <w:rPr>
          <w:rFonts w:ascii="宋体" w:eastAsia="宋体" w:hAnsi="宋体"/>
          <w:szCs w:val="21"/>
        </w:rPr>
      </w:pPr>
      <w:r>
        <w:rPr>
          <w:rFonts w:ascii="宋体" w:eastAsia="宋体" w:hAnsi="宋体" w:hint="eastAsia"/>
          <w:szCs w:val="21"/>
        </w:rPr>
        <w:t>（二）目标岗位及主要工作项目</w:t>
      </w:r>
    </w:p>
    <w:p>
      <w:pPr>
        <w:pStyle w:val="style0"/>
        <w:snapToGrid w:val="false"/>
        <w:spacing w:lineRule="exact" w:line="380"/>
        <w:ind w:firstLine="420" w:firstLineChars="200"/>
        <w:outlineLvl w:val="0"/>
        <w:rPr>
          <w:rFonts w:ascii="宋体" w:cs="宋体" w:eastAsia="宋体" w:hAnsi="宋体"/>
          <w:szCs w:val="21"/>
        </w:rPr>
      </w:pPr>
      <w:r>
        <w:rPr>
          <w:rFonts w:ascii="宋体" w:cs="宋体" w:eastAsia="宋体" w:hAnsi="宋体" w:hint="eastAsia"/>
          <w:szCs w:val="21"/>
        </w:rPr>
        <w:t>网</w:t>
      </w:r>
      <w:r>
        <w:rPr>
          <w:rFonts w:ascii="宋体" w:cs="宋体" w:eastAsia="宋体" w:hAnsi="宋体"/>
          <w:szCs w:val="21"/>
        </w:rPr>
        <w:t>店</w:t>
      </w:r>
      <w:r>
        <w:rPr>
          <w:rFonts w:ascii="宋体" w:cs="宋体" w:eastAsia="宋体" w:hAnsi="宋体" w:hint="eastAsia"/>
          <w:szCs w:val="21"/>
        </w:rPr>
        <w:t>客服（营销客服主管）主管、视觉营销主管、网</w:t>
      </w:r>
      <w:r>
        <w:rPr>
          <w:rFonts w:ascii="宋体" w:cs="宋体" w:eastAsia="宋体" w:hAnsi="宋体"/>
          <w:szCs w:val="21"/>
        </w:rPr>
        <w:t>店</w:t>
      </w:r>
      <w:r>
        <w:rPr>
          <w:rFonts w:ascii="宋体" w:cs="宋体" w:eastAsia="宋体" w:hAnsi="宋体" w:hint="eastAsia"/>
          <w:szCs w:val="21"/>
        </w:rPr>
        <w:t>运营推广主管</w:t>
      </w:r>
      <w:r>
        <w:rPr>
          <w:rFonts w:ascii="宋体" w:cs="Cambria Math" w:eastAsia="宋体" w:hAnsi="宋体" w:hint="eastAsia"/>
          <w:szCs w:val="21"/>
        </w:rPr>
        <w:t>（营销策划主管）</w:t>
      </w:r>
      <w:r>
        <w:rPr>
          <w:rFonts w:ascii="宋体" w:cs="宋体" w:eastAsia="宋体" w:hAnsi="宋体" w:hint="eastAsia"/>
          <w:szCs w:val="21"/>
        </w:rPr>
        <w:t>，其主要工作项目为：</w:t>
      </w:r>
    </w:p>
    <w:p>
      <w:pPr>
        <w:pStyle w:val="style0"/>
        <w:snapToGrid w:val="false"/>
        <w:spacing w:lineRule="exact" w:line="380"/>
        <w:ind w:left="420" w:leftChars="200"/>
        <w:outlineLvl w:val="0"/>
        <w:rPr>
          <w:rFonts w:ascii="宋体" w:cs="宋体" w:eastAsia="宋体" w:hAnsi="宋体"/>
          <w:szCs w:val="21"/>
        </w:rPr>
      </w:pPr>
      <w:r>
        <w:rPr>
          <w:rFonts w:ascii="宋体" w:cs="宋体" w:eastAsia="宋体" w:hAnsi="宋体" w:hint="eastAsia"/>
          <w:szCs w:val="21"/>
        </w:rPr>
        <w:t>1．网</w:t>
      </w:r>
      <w:r>
        <w:rPr>
          <w:rFonts w:ascii="宋体" w:cs="宋体" w:eastAsia="宋体" w:hAnsi="宋体"/>
          <w:szCs w:val="21"/>
        </w:rPr>
        <w:t>店</w:t>
      </w:r>
      <w:r>
        <w:rPr>
          <w:rFonts w:ascii="宋体" w:cs="宋体" w:eastAsia="宋体" w:hAnsi="宋体" w:hint="eastAsia"/>
          <w:szCs w:val="21"/>
        </w:rPr>
        <w:t>客服主管（营销客服主管），其主要工作项目为：</w:t>
      </w:r>
    </w:p>
    <w:p>
      <w:pPr>
        <w:pStyle w:val="style0"/>
        <w:numPr>
          <w:ilvl w:val="0"/>
          <w:numId w:val="4"/>
        </w:numPr>
        <w:snapToGrid w:val="false"/>
        <w:spacing w:lineRule="exact" w:line="380"/>
        <w:ind w:left="993" w:hanging="573"/>
        <w:outlineLvl w:val="0"/>
        <w:rPr>
          <w:rFonts w:ascii="宋体" w:cs="宋体" w:eastAsia="宋体" w:hAnsi="宋体"/>
          <w:szCs w:val="21"/>
        </w:rPr>
      </w:pPr>
      <w:r>
        <w:rPr>
          <w:rFonts w:ascii="宋体" w:cs="宋体" w:eastAsia="宋体" w:hAnsi="宋体" w:hint="eastAsia"/>
          <w:szCs w:val="21"/>
        </w:rPr>
        <w:t>负责各大电商平台客服团队的日常班务管理，统筹安排好各岗位人员的工作；</w:t>
      </w:r>
    </w:p>
    <w:p>
      <w:pPr>
        <w:pStyle w:val="style0"/>
        <w:numPr>
          <w:ilvl w:val="0"/>
          <w:numId w:val="4"/>
        </w:numPr>
        <w:snapToGrid w:val="false"/>
        <w:spacing w:lineRule="exact" w:line="380"/>
        <w:ind w:left="993" w:hanging="573"/>
        <w:outlineLvl w:val="0"/>
        <w:rPr>
          <w:rFonts w:ascii="宋体" w:cs="宋体" w:eastAsia="宋体" w:hAnsi="宋体"/>
          <w:szCs w:val="21"/>
        </w:rPr>
      </w:pPr>
      <w:r>
        <w:rPr>
          <w:rFonts w:ascii="宋体" w:cs="宋体" w:eastAsia="宋体" w:hAnsi="宋体" w:hint="eastAsia"/>
          <w:szCs w:val="21"/>
        </w:rPr>
        <w:t>管理客户档案，建立客户关系维护相关办法；定期对客户进行回访，维护客户关系；致力于提高新客转化率和询单转化率，老客户转化率等；</w:t>
      </w:r>
    </w:p>
    <w:p>
      <w:pPr>
        <w:pStyle w:val="style0"/>
        <w:numPr>
          <w:ilvl w:val="0"/>
          <w:numId w:val="4"/>
        </w:numPr>
        <w:snapToGrid w:val="false"/>
        <w:spacing w:lineRule="exact" w:line="380"/>
        <w:ind w:left="993" w:hanging="573"/>
        <w:outlineLvl w:val="0"/>
        <w:rPr>
          <w:rFonts w:ascii="宋体" w:cs="宋体" w:eastAsia="宋体" w:hAnsi="宋体"/>
          <w:szCs w:val="21"/>
        </w:rPr>
      </w:pPr>
      <w:r>
        <w:rPr>
          <w:rFonts w:ascii="宋体" w:cs="宋体" w:eastAsia="宋体" w:hAnsi="宋体" w:hint="eastAsia"/>
          <w:szCs w:val="21"/>
        </w:rPr>
        <w:t>协助处理售前、售后业务，解决投诉及不良评价，保证公司销售业务的顺利进行；</w:t>
      </w:r>
    </w:p>
    <w:p>
      <w:pPr>
        <w:pStyle w:val="style0"/>
        <w:numPr>
          <w:ilvl w:val="0"/>
          <w:numId w:val="4"/>
        </w:numPr>
        <w:snapToGrid w:val="false"/>
        <w:spacing w:lineRule="exact" w:line="380"/>
        <w:ind w:left="993" w:hanging="573"/>
        <w:outlineLvl w:val="0"/>
        <w:rPr>
          <w:rFonts w:ascii="宋体" w:cs="宋体" w:eastAsia="宋体" w:hAnsi="宋体"/>
          <w:szCs w:val="21"/>
        </w:rPr>
      </w:pPr>
      <w:r>
        <w:rPr>
          <w:rFonts w:ascii="宋体" w:cs="宋体" w:eastAsia="宋体" w:hAnsi="宋体" w:hint="eastAsia"/>
          <w:szCs w:val="21"/>
        </w:rPr>
        <w:t>每个月售后问题的汇总、分析并反馈，全方位优化售后客服服务质量；</w:t>
      </w:r>
    </w:p>
    <w:p>
      <w:pPr>
        <w:pStyle w:val="style0"/>
        <w:numPr>
          <w:ilvl w:val="0"/>
          <w:numId w:val="4"/>
        </w:numPr>
        <w:snapToGrid w:val="false"/>
        <w:spacing w:lineRule="exact" w:line="380"/>
        <w:ind w:left="993" w:hanging="573"/>
        <w:outlineLvl w:val="0"/>
        <w:rPr>
          <w:rFonts w:ascii="宋体" w:cs="宋体" w:eastAsia="宋体" w:hAnsi="宋体"/>
          <w:szCs w:val="21"/>
        </w:rPr>
      </w:pPr>
      <w:r>
        <w:rPr>
          <w:rFonts w:ascii="宋体" w:cs="宋体" w:eastAsia="宋体" w:hAnsi="宋体" w:hint="eastAsia"/>
          <w:szCs w:val="21"/>
        </w:rPr>
        <w:t>负责团队考核及新进员工培训，协调客服部和其他部门的合作；</w:t>
      </w:r>
    </w:p>
    <w:p>
      <w:pPr>
        <w:pStyle w:val="style0"/>
        <w:numPr>
          <w:ilvl w:val="0"/>
          <w:numId w:val="4"/>
        </w:numPr>
        <w:snapToGrid w:val="false"/>
        <w:spacing w:lineRule="exact" w:line="380"/>
        <w:ind w:left="993" w:hanging="573"/>
        <w:outlineLvl w:val="0"/>
        <w:rPr>
          <w:rFonts w:ascii="宋体" w:cs="宋体" w:eastAsia="宋体" w:hAnsi="宋体"/>
          <w:szCs w:val="21"/>
        </w:rPr>
      </w:pPr>
      <w:r>
        <w:rPr>
          <w:rFonts w:ascii="宋体" w:cs="宋体" w:eastAsia="宋体" w:hAnsi="宋体" w:hint="eastAsia"/>
          <w:szCs w:val="21"/>
        </w:rPr>
        <w:t>制定并不断完善客户服务规范、流程和制度；推动和监督规范、流程及制度的有效执行，全方位优化客户服务质量；</w:t>
      </w:r>
    </w:p>
    <w:p>
      <w:pPr>
        <w:pStyle w:val="style0"/>
        <w:numPr>
          <w:ilvl w:val="0"/>
          <w:numId w:val="4"/>
        </w:numPr>
        <w:snapToGrid w:val="false"/>
        <w:spacing w:lineRule="exact" w:line="380"/>
        <w:ind w:left="993" w:hanging="573"/>
        <w:outlineLvl w:val="0"/>
        <w:rPr>
          <w:rFonts w:ascii="宋体" w:cs="宋体" w:eastAsia="宋体" w:hAnsi="宋体"/>
          <w:szCs w:val="21"/>
        </w:rPr>
      </w:pPr>
      <w:r>
        <w:rPr>
          <w:rFonts w:ascii="宋体" w:cs="宋体" w:eastAsia="宋体" w:hAnsi="宋体" w:hint="eastAsia"/>
          <w:szCs w:val="21"/>
        </w:rPr>
        <w:t>传递执行公司政策，确保各岗位及时了解各种店铺活动信息；对营销方案和活动策划提出合理建；</w:t>
      </w:r>
    </w:p>
    <w:p>
      <w:pPr>
        <w:pStyle w:val="style0"/>
        <w:numPr>
          <w:ilvl w:val="0"/>
          <w:numId w:val="4"/>
        </w:numPr>
        <w:snapToGrid w:val="false"/>
        <w:spacing w:lineRule="exact" w:line="380"/>
        <w:ind w:left="993" w:hanging="573"/>
        <w:outlineLvl w:val="0"/>
        <w:rPr>
          <w:rFonts w:ascii="宋体" w:cs="宋体" w:eastAsia="宋体" w:hAnsi="宋体"/>
          <w:szCs w:val="21"/>
        </w:rPr>
      </w:pPr>
      <w:r>
        <w:rPr>
          <w:rFonts w:ascii="宋体" w:cs="宋体" w:eastAsia="宋体" w:hAnsi="宋体" w:hint="eastAsia"/>
          <w:szCs w:val="21"/>
        </w:rPr>
        <w:t>确保与各相关业务部门沟通顺畅，完成上级交办所有任务。</w:t>
      </w:r>
    </w:p>
    <w:p>
      <w:pPr>
        <w:pStyle w:val="style0"/>
        <w:snapToGrid w:val="false"/>
        <w:spacing w:lineRule="exact" w:line="380"/>
        <w:ind w:left="420" w:leftChars="200"/>
        <w:outlineLvl w:val="0"/>
        <w:rPr>
          <w:rFonts w:ascii="宋体" w:cs="宋体" w:eastAsia="宋体" w:hAnsi="宋体"/>
          <w:szCs w:val="21"/>
        </w:rPr>
      </w:pPr>
      <w:r>
        <w:rPr>
          <w:rFonts w:ascii="宋体" w:cs="宋体" w:eastAsia="宋体" w:hAnsi="宋体" w:hint="eastAsia"/>
          <w:szCs w:val="21"/>
        </w:rPr>
        <w:t>2．视觉</w:t>
      </w:r>
      <w:r>
        <w:rPr>
          <w:rFonts w:ascii="宋体" w:cs="宋体" w:eastAsia="宋体" w:hAnsi="宋体"/>
          <w:szCs w:val="21"/>
        </w:rPr>
        <w:t>营销</w:t>
      </w:r>
      <w:r>
        <w:rPr>
          <w:rFonts w:ascii="宋体" w:cs="宋体" w:eastAsia="宋体" w:hAnsi="宋体" w:hint="eastAsia"/>
          <w:szCs w:val="21"/>
        </w:rPr>
        <w:t>主管，其主要工作项目为：</w:t>
      </w:r>
    </w:p>
    <w:p>
      <w:pPr>
        <w:pStyle w:val="style0"/>
        <w:numPr>
          <w:ilvl w:val="0"/>
          <w:numId w:val="5"/>
        </w:numPr>
        <w:ind w:left="993" w:hanging="573"/>
        <w:rPr>
          <w:rFonts w:ascii="宋体" w:cs="宋体" w:eastAsia="宋体" w:hAnsi="宋体"/>
          <w:szCs w:val="21"/>
        </w:rPr>
      </w:pPr>
      <w:r>
        <w:rPr>
          <w:rFonts w:ascii="宋体" w:cs="宋体" w:eastAsia="宋体" w:hAnsi="宋体" w:hint="eastAsia"/>
          <w:szCs w:val="21"/>
        </w:rPr>
        <w:t>能独立完成网店整体效果的装修，商品的设计和美化，包括图片修改、制作、动画、动态广告条的设计等；</w:t>
      </w:r>
    </w:p>
    <w:p>
      <w:pPr>
        <w:pStyle w:val="style0"/>
        <w:numPr>
          <w:ilvl w:val="0"/>
          <w:numId w:val="5"/>
        </w:numPr>
        <w:ind w:left="993" w:hanging="573"/>
        <w:rPr>
          <w:rFonts w:ascii="宋体" w:cs="宋体" w:eastAsia="宋体" w:hAnsi="宋体"/>
          <w:szCs w:val="21"/>
        </w:rPr>
      </w:pPr>
      <w:r>
        <w:rPr>
          <w:rFonts w:ascii="宋体" w:cs="宋体" w:eastAsia="宋体" w:hAnsi="宋体" w:hint="eastAsia"/>
          <w:szCs w:val="21"/>
        </w:rPr>
        <w:t>网店日常美观管理，策划、设计店铺的分类 、公告栏和促销栏等模块，以及其他店内需要的工作；</w:t>
      </w:r>
    </w:p>
    <w:p>
      <w:pPr>
        <w:pStyle w:val="style0"/>
        <w:numPr>
          <w:ilvl w:val="0"/>
          <w:numId w:val="5"/>
        </w:numPr>
        <w:ind w:left="993" w:hanging="573"/>
        <w:rPr>
          <w:rFonts w:ascii="宋体" w:cs="宋体" w:eastAsia="宋体" w:hAnsi="宋体"/>
          <w:szCs w:val="21"/>
        </w:rPr>
      </w:pPr>
      <w:r>
        <w:rPr>
          <w:rFonts w:ascii="宋体" w:cs="宋体" w:eastAsia="宋体" w:hAnsi="宋体" w:hint="eastAsia"/>
          <w:szCs w:val="21"/>
        </w:rPr>
        <w:t>能够根据不同的产品制作相关的产品推广图片和动画广告，配合网店产品促销制作活动推广网页；</w:t>
      </w:r>
    </w:p>
    <w:p>
      <w:pPr>
        <w:pStyle w:val="style0"/>
        <w:numPr>
          <w:ilvl w:val="0"/>
          <w:numId w:val="5"/>
        </w:numPr>
        <w:ind w:left="993" w:hanging="573"/>
        <w:rPr>
          <w:rFonts w:ascii="宋体" w:cs="宋体" w:eastAsia="宋体" w:hAnsi="宋体"/>
          <w:szCs w:val="21"/>
        </w:rPr>
      </w:pPr>
      <w:r>
        <w:rPr>
          <w:rFonts w:ascii="宋体" w:cs="宋体" w:eastAsia="宋体" w:hAnsi="宋体" w:hint="eastAsia"/>
          <w:szCs w:val="21"/>
        </w:rPr>
        <w:t>严格按照网店设计规范制作，勇于创新，精心创意。</w:t>
      </w:r>
    </w:p>
    <w:p>
      <w:pPr>
        <w:pStyle w:val="style0"/>
        <w:snapToGrid w:val="false"/>
        <w:spacing w:lineRule="exact" w:line="380"/>
        <w:ind w:left="420" w:leftChars="200"/>
        <w:outlineLvl w:val="0"/>
        <w:rPr>
          <w:rFonts w:ascii="宋体" w:cs="Cambria Math" w:eastAsia="宋体" w:hAnsi="宋体"/>
          <w:szCs w:val="21"/>
        </w:rPr>
      </w:pPr>
      <w:r>
        <w:rPr>
          <w:rFonts w:ascii="宋体" w:cs="Cambria Math" w:eastAsia="宋体" w:hAnsi="宋体" w:hint="eastAsia"/>
          <w:szCs w:val="21"/>
        </w:rPr>
        <w:t>3．网</w:t>
      </w:r>
      <w:r>
        <w:rPr>
          <w:rFonts w:ascii="宋体" w:cs="Cambria Math" w:eastAsia="宋体" w:hAnsi="宋体"/>
          <w:szCs w:val="21"/>
        </w:rPr>
        <w:t>店</w:t>
      </w:r>
      <w:r>
        <w:rPr>
          <w:rFonts w:ascii="宋体" w:cs="Cambria Math" w:eastAsia="宋体" w:hAnsi="宋体" w:hint="eastAsia"/>
          <w:szCs w:val="21"/>
        </w:rPr>
        <w:t>运营推广主管（网络营销策划主管），其主要工作项目为：</w:t>
      </w:r>
    </w:p>
    <w:p>
      <w:pPr>
        <w:pStyle w:val="style0"/>
        <w:numPr>
          <w:ilvl w:val="0"/>
          <w:numId w:val="6"/>
        </w:numPr>
        <w:snapToGrid w:val="false"/>
        <w:spacing w:lineRule="exact" w:line="380"/>
        <w:ind w:left="993" w:hanging="573"/>
        <w:outlineLvl w:val="0"/>
        <w:rPr>
          <w:rFonts w:ascii="宋体" w:cs="Cambria Math" w:eastAsia="宋体" w:hAnsi="宋体"/>
          <w:szCs w:val="21"/>
        </w:rPr>
      </w:pPr>
      <w:r>
        <w:rPr>
          <w:rFonts w:ascii="宋体" w:cs="Cambria Math" w:eastAsia="宋体" w:hAnsi="宋体" w:hint="eastAsia"/>
          <w:szCs w:val="21"/>
        </w:rPr>
        <w:t>参与网站的整体运营、网站定位研究、网站架构、用户引导流程和体验层改善；</w:t>
      </w:r>
    </w:p>
    <w:p>
      <w:pPr>
        <w:pStyle w:val="style0"/>
        <w:numPr>
          <w:ilvl w:val="0"/>
          <w:numId w:val="6"/>
        </w:numPr>
        <w:snapToGrid w:val="false"/>
        <w:spacing w:lineRule="exact" w:line="380"/>
        <w:ind w:left="993" w:hanging="573"/>
        <w:outlineLvl w:val="0"/>
        <w:rPr>
          <w:rFonts w:ascii="宋体" w:cs="Cambria Math" w:eastAsia="宋体" w:hAnsi="宋体"/>
          <w:szCs w:val="21"/>
        </w:rPr>
      </w:pPr>
      <w:r>
        <w:rPr>
          <w:rFonts w:ascii="宋体" w:cs="Cambria Math" w:eastAsia="宋体" w:hAnsi="宋体" w:hint="eastAsia"/>
          <w:szCs w:val="21"/>
        </w:rPr>
        <w:t>负责公司电子商务的营销方案，有过独立网站商城或电商平台的相关经验者优先；</w:t>
      </w:r>
    </w:p>
    <w:p>
      <w:pPr>
        <w:pStyle w:val="style0"/>
        <w:numPr>
          <w:ilvl w:val="0"/>
          <w:numId w:val="6"/>
        </w:numPr>
        <w:snapToGrid w:val="false"/>
        <w:spacing w:lineRule="exact" w:line="380"/>
        <w:ind w:left="993" w:hanging="573"/>
        <w:outlineLvl w:val="0"/>
        <w:rPr>
          <w:rFonts w:ascii="宋体" w:cs="Cambria Math" w:eastAsia="宋体" w:hAnsi="宋体"/>
          <w:szCs w:val="21"/>
        </w:rPr>
      </w:pPr>
      <w:r>
        <w:rPr>
          <w:rFonts w:ascii="宋体" w:cs="Cambria Math" w:eastAsia="宋体" w:hAnsi="宋体" w:hint="eastAsia"/>
          <w:szCs w:val="21"/>
        </w:rPr>
        <w:t>负责微信、新浪微博以及微营销宣传方案；</w:t>
      </w:r>
    </w:p>
    <w:p>
      <w:pPr>
        <w:pStyle w:val="style0"/>
        <w:numPr>
          <w:ilvl w:val="0"/>
          <w:numId w:val="6"/>
        </w:numPr>
        <w:snapToGrid w:val="false"/>
        <w:spacing w:lineRule="exact" w:line="380"/>
        <w:ind w:left="993" w:hanging="573"/>
        <w:outlineLvl w:val="0"/>
        <w:rPr>
          <w:rFonts w:ascii="宋体" w:cs="Cambria Math" w:eastAsia="宋体" w:hAnsi="宋体"/>
          <w:szCs w:val="21"/>
        </w:rPr>
      </w:pPr>
      <w:r>
        <w:rPr>
          <w:rFonts w:ascii="宋体" w:cs="Cambria Math" w:eastAsia="宋体" w:hAnsi="宋体" w:hint="eastAsia"/>
          <w:szCs w:val="21"/>
        </w:rPr>
        <w:t>分析公司网络品牌推广方式（网络活动、论坛营销、新闻营销、事件营销等）和网络行销模式（网络媒体广告、搜索引擎推广、交换链接、邮件推广、SNS推广、论坛推广、联合促销等），不断挖掘新的行销模式和品牌推广；</w:t>
      </w:r>
    </w:p>
    <w:p>
      <w:pPr>
        <w:pStyle w:val="style0"/>
        <w:numPr>
          <w:ilvl w:val="0"/>
          <w:numId w:val="6"/>
        </w:numPr>
        <w:snapToGrid w:val="false"/>
        <w:spacing w:lineRule="exact" w:line="380"/>
        <w:ind w:left="993" w:hanging="573"/>
        <w:outlineLvl w:val="0"/>
        <w:rPr>
          <w:rFonts w:ascii="宋体" w:cs="Cambria Math" w:eastAsia="宋体" w:hAnsi="宋体"/>
          <w:szCs w:val="21"/>
        </w:rPr>
      </w:pPr>
      <w:r>
        <w:rPr>
          <w:rFonts w:ascii="宋体" w:cs="Cambria Math" w:eastAsia="宋体" w:hAnsi="宋体" w:hint="eastAsia"/>
          <w:szCs w:val="21"/>
        </w:rPr>
        <w:t>搜集相关行业新资讯、资料，提供分析报告；</w:t>
      </w:r>
    </w:p>
    <w:p>
      <w:pPr>
        <w:pStyle w:val="style0"/>
        <w:numPr>
          <w:ilvl w:val="0"/>
          <w:numId w:val="6"/>
        </w:numPr>
        <w:snapToGrid w:val="false"/>
        <w:spacing w:lineRule="exact" w:line="380"/>
        <w:ind w:left="993" w:hanging="573"/>
        <w:outlineLvl w:val="0"/>
        <w:rPr>
          <w:rFonts w:ascii="宋体" w:cs="Cambria Math" w:eastAsia="宋体" w:hAnsi="宋体"/>
          <w:szCs w:val="21"/>
        </w:rPr>
      </w:pPr>
      <w:r>
        <w:rPr>
          <w:rFonts w:ascii="宋体" w:cs="Cambria Math" w:eastAsia="宋体" w:hAnsi="宋体" w:hint="eastAsia"/>
          <w:szCs w:val="21"/>
        </w:rPr>
        <w:t>团队建设：完善网络营销队伍，塑造团队文化，培训和考核下属。</w:t>
      </w:r>
    </w:p>
    <w:p>
      <w:pPr>
        <w:pStyle w:val="style0"/>
        <w:snapToGrid w:val="false"/>
        <w:spacing w:lineRule="exact" w:line="380"/>
        <w:ind w:firstLine="420" w:firstLineChars="200"/>
        <w:outlineLvl w:val="1"/>
        <w:rPr>
          <w:rFonts w:ascii="宋体" w:eastAsia="宋体" w:hAnsi="宋体"/>
          <w:szCs w:val="21"/>
        </w:rPr>
      </w:pPr>
      <w:r>
        <w:rPr>
          <w:rFonts w:ascii="宋体" w:eastAsia="宋体" w:hAnsi="宋体" w:hint="eastAsia"/>
          <w:szCs w:val="21"/>
        </w:rPr>
        <w:t>（三）其他岗位及主要工作项目</w:t>
      </w:r>
    </w:p>
    <w:p>
      <w:pPr>
        <w:pStyle w:val="style0"/>
        <w:snapToGrid w:val="false"/>
        <w:spacing w:lineRule="exact" w:line="380"/>
        <w:ind w:firstLine="420" w:firstLineChars="200"/>
        <w:outlineLvl w:val="1"/>
        <w:rPr>
          <w:rFonts w:ascii="宋体" w:eastAsia="宋体" w:hAnsi="宋体"/>
          <w:szCs w:val="21"/>
        </w:rPr>
      </w:pPr>
      <w:r>
        <w:rPr>
          <w:rFonts w:ascii="宋体" w:cs="Cambria Math" w:eastAsia="宋体" w:hAnsi="宋体" w:hint="eastAsia"/>
          <w:szCs w:val="21"/>
        </w:rPr>
        <w:t>电商文案专员，其主要工作项目为：</w:t>
      </w:r>
    </w:p>
    <w:p>
      <w:pPr>
        <w:pStyle w:val="style0"/>
        <w:numPr>
          <w:ilvl w:val="0"/>
          <w:numId w:val="7"/>
        </w:numPr>
        <w:snapToGrid w:val="false"/>
        <w:spacing w:lineRule="exact" w:line="380"/>
        <w:ind w:left="993" w:hanging="573"/>
        <w:outlineLvl w:val="0"/>
        <w:rPr>
          <w:rFonts w:ascii="宋体" w:cs="Cambria Math" w:eastAsia="宋体" w:hAnsi="宋体"/>
          <w:szCs w:val="21"/>
        </w:rPr>
      </w:pPr>
      <w:r>
        <w:rPr>
          <w:rFonts w:ascii="宋体" w:cs="Cambria Math" w:eastAsia="宋体" w:hAnsi="宋体" w:hint="eastAsia"/>
          <w:szCs w:val="21"/>
        </w:rPr>
        <w:t>负责平台的页面文案、活动文案、论坛、微博、微信等的策划和编辑工作；</w:t>
      </w:r>
    </w:p>
    <w:p>
      <w:pPr>
        <w:pStyle w:val="style0"/>
        <w:numPr>
          <w:ilvl w:val="0"/>
          <w:numId w:val="7"/>
        </w:numPr>
        <w:snapToGrid w:val="false"/>
        <w:spacing w:lineRule="exact" w:line="380"/>
        <w:ind w:left="993" w:hanging="573"/>
        <w:outlineLvl w:val="0"/>
        <w:rPr>
          <w:rFonts w:ascii="宋体" w:cs="Cambria Math" w:eastAsia="宋体" w:hAnsi="宋体"/>
          <w:szCs w:val="21"/>
        </w:rPr>
      </w:pPr>
      <w:r>
        <w:rPr>
          <w:rFonts w:ascii="宋体" w:cs="Cambria Math" w:eastAsia="宋体" w:hAnsi="宋体" w:hint="eastAsia"/>
          <w:szCs w:val="21"/>
        </w:rPr>
        <w:t>配合节庆，假日设计策划有吸引力及成交量高的活动方案；</w:t>
      </w:r>
    </w:p>
    <w:p>
      <w:pPr>
        <w:pStyle w:val="style0"/>
        <w:numPr>
          <w:ilvl w:val="0"/>
          <w:numId w:val="7"/>
        </w:numPr>
        <w:snapToGrid w:val="false"/>
        <w:spacing w:lineRule="exact" w:line="380"/>
        <w:ind w:left="993" w:hanging="573"/>
        <w:outlineLvl w:val="0"/>
        <w:rPr>
          <w:rFonts w:ascii="宋体" w:cs="Cambria Math" w:eastAsia="宋体" w:hAnsi="宋体"/>
          <w:szCs w:val="21"/>
        </w:rPr>
      </w:pPr>
      <w:r>
        <w:rPr>
          <w:rFonts w:ascii="宋体" w:cs="Cambria Math" w:eastAsia="宋体" w:hAnsi="宋体" w:hint="eastAsia"/>
          <w:szCs w:val="21"/>
        </w:rPr>
        <w:t>深入挖掘消费者心理及需求，提炼有效的产品卖点，并创作能产生共鸣的文案；</w:t>
      </w:r>
    </w:p>
    <w:p>
      <w:pPr>
        <w:pStyle w:val="style0"/>
        <w:numPr>
          <w:ilvl w:val="0"/>
          <w:numId w:val="7"/>
        </w:numPr>
        <w:snapToGrid w:val="false"/>
        <w:spacing w:lineRule="exact" w:line="380"/>
        <w:ind w:left="993" w:hanging="573"/>
        <w:outlineLvl w:val="0"/>
        <w:rPr>
          <w:rFonts w:ascii="宋体" w:cs="Cambria Math" w:eastAsia="宋体" w:hAnsi="宋体"/>
          <w:szCs w:val="21"/>
        </w:rPr>
      </w:pPr>
      <w:r>
        <w:rPr>
          <w:rFonts w:ascii="宋体" w:cs="Cambria Math" w:eastAsia="宋体" w:hAnsi="宋体" w:hint="eastAsia"/>
          <w:szCs w:val="21"/>
        </w:rPr>
        <w:t>与设计、运营及推广部门深入协作，完成指定营销策划；</w:t>
      </w:r>
    </w:p>
    <w:p>
      <w:pPr>
        <w:pStyle w:val="style0"/>
        <w:numPr>
          <w:ilvl w:val="0"/>
          <w:numId w:val="7"/>
        </w:numPr>
        <w:snapToGrid w:val="false"/>
        <w:spacing w:lineRule="exact" w:line="380"/>
        <w:ind w:left="993" w:hanging="573"/>
        <w:outlineLvl w:val="0"/>
        <w:rPr>
          <w:rFonts w:ascii="宋体" w:cs="Cambria Math" w:eastAsia="宋体" w:hAnsi="宋体"/>
          <w:szCs w:val="21"/>
        </w:rPr>
      </w:pPr>
      <w:r>
        <w:rPr>
          <w:rFonts w:ascii="宋体" w:cs="Cambria Math" w:eastAsia="宋体" w:hAnsi="宋体" w:hint="eastAsia"/>
          <w:szCs w:val="21"/>
        </w:rPr>
        <w:t>与时俱进，紧跟行业动态，及时热点事件，并能顺势策划；</w:t>
      </w:r>
    </w:p>
    <w:p>
      <w:pPr>
        <w:pStyle w:val="style0"/>
        <w:numPr>
          <w:ilvl w:val="0"/>
          <w:numId w:val="7"/>
        </w:numPr>
        <w:snapToGrid w:val="false"/>
        <w:spacing w:lineRule="exact" w:line="380"/>
        <w:ind w:left="993" w:hanging="573"/>
        <w:outlineLvl w:val="0"/>
        <w:rPr>
          <w:rFonts w:ascii="Times New Roman" w:eastAsia="宋体" w:hAnsi="Times New Roman"/>
          <w:szCs w:val="21"/>
        </w:rPr>
      </w:pPr>
      <w:r>
        <w:rPr>
          <w:rFonts w:ascii="宋体" w:cs="Cambria Math" w:eastAsia="宋体" w:hAnsi="宋体" w:hint="eastAsia"/>
          <w:szCs w:val="21"/>
        </w:rPr>
        <w:t>配合完成对站内外推广资源的收集、整理、提报、跟进上线及效果评估。</w:t>
      </w:r>
    </w:p>
    <w:p>
      <w:pPr>
        <w:pStyle w:val="style0"/>
        <w:snapToGrid w:val="false"/>
        <w:spacing w:lineRule="exact" w:line="380"/>
        <w:ind w:firstLine="482" w:firstLineChars="200"/>
        <w:outlineLvl w:val="0"/>
        <w:rPr>
          <w:rFonts w:ascii="Times New Roman" w:eastAsia="宋体" w:hAnsi="Times New Roman"/>
        </w:rPr>
      </w:pPr>
      <w:r>
        <w:rPr>
          <w:rFonts w:ascii="Times New Roman" w:eastAsia="宋体" w:hAnsi="Times New Roman"/>
          <w:b/>
          <w:sz w:val="24"/>
        </w:rPr>
        <w:t>四、</w:t>
      </w:r>
      <w:r>
        <w:rPr>
          <w:rFonts w:ascii="Times New Roman" w:eastAsia="宋体" w:hAnsi="Times New Roman" w:hint="eastAsia"/>
          <w:b/>
          <w:sz w:val="24"/>
        </w:rPr>
        <w:t>人才规格</w:t>
      </w:r>
      <w:r>
        <w:rPr>
          <w:rFonts w:ascii="Times New Roman" w:eastAsia="宋体" w:hAnsi="Times New Roman" w:hint="eastAsia"/>
        </w:rPr>
        <w:t xml:space="preserve">    </w:t>
      </w:r>
    </w:p>
    <w:p>
      <w:pPr>
        <w:pStyle w:val="style0"/>
        <w:snapToGrid w:val="false"/>
        <w:spacing w:lineRule="exact" w:line="380"/>
        <w:ind w:firstLine="420" w:firstLineChars="200"/>
        <w:outlineLvl w:val="1"/>
        <w:rPr>
          <w:rFonts w:ascii="Times New Roman" w:eastAsia="宋体" w:hAnsi="Times New Roman"/>
          <w:szCs w:val="21"/>
        </w:rPr>
      </w:pPr>
      <w:r>
        <w:rPr>
          <w:rFonts w:ascii="Times New Roman" w:eastAsia="宋体" w:hAnsi="Times New Roman" w:hint="eastAsia"/>
          <w:szCs w:val="21"/>
        </w:rPr>
        <w:t>（一）通用职业能力和素质</w:t>
      </w:r>
    </w:p>
    <w:p>
      <w:pPr>
        <w:pStyle w:val="style0"/>
        <w:snapToGrid w:val="false"/>
        <w:spacing w:lineRule="exact" w:line="380"/>
        <w:ind w:firstLine="420" w:firstLineChars="200"/>
        <w:rPr>
          <w:rFonts w:ascii="Times New Roman" w:cs="Times New Roman" w:eastAsia="宋体" w:hAnsi="Times New Roman"/>
          <w:szCs w:val="21"/>
        </w:rPr>
      </w:pPr>
      <w:r>
        <w:rPr>
          <w:rFonts w:ascii="Times New Roman" w:cs="Times New Roman" w:eastAsia="宋体" w:hAnsi="Times New Roman" w:hint="eastAsia"/>
          <w:szCs w:val="21"/>
        </w:rPr>
        <w:t>1.思想政治素质：热爱社会主义祖国，能够准确理解和把握社会主义核心价值观的深刻内涵和实践要求，具有正确的世界观、人生观、价值观。</w:t>
      </w:r>
    </w:p>
    <w:p>
      <w:pPr>
        <w:pStyle w:val="style0"/>
        <w:snapToGrid w:val="false"/>
        <w:spacing w:lineRule="exact" w:line="380"/>
        <w:ind w:firstLine="420" w:firstLineChars="200"/>
        <w:rPr>
          <w:rFonts w:ascii="Times New Roman" w:cs="Times New Roman" w:eastAsia="宋体" w:hAnsi="Times New Roman"/>
          <w:szCs w:val="21"/>
        </w:rPr>
      </w:pPr>
      <w:r>
        <w:rPr>
          <w:rFonts w:ascii="Times New Roman" w:cs="Times New Roman" w:eastAsia="宋体" w:hAnsi="Times New Roman" w:hint="eastAsia"/>
          <w:szCs w:val="21"/>
        </w:rPr>
        <w:t>2.身心素质：掌握常规体育运动项目的基础知识和基本技能，掌握有关身体健康的知识和健身方法，体能测试基本合格，提高大学生心理健康水平，增强自我调适的能力；使学生能正确认识自我，悦纳自我，热爱生命，善待他人，增强调控自我、承受挫折、适应环境的能力。</w:t>
      </w:r>
    </w:p>
    <w:p>
      <w:pPr>
        <w:pStyle w:val="style0"/>
        <w:snapToGrid w:val="false"/>
        <w:spacing w:lineRule="exact" w:line="380"/>
        <w:ind w:firstLine="420" w:firstLineChars="200"/>
        <w:rPr>
          <w:rFonts w:ascii="Times New Roman" w:cs="Times New Roman" w:eastAsia="宋体" w:hAnsi="Times New Roman"/>
          <w:szCs w:val="21"/>
        </w:rPr>
      </w:pPr>
      <w:r>
        <w:rPr>
          <w:rFonts w:ascii="Times New Roman" w:cs="Times New Roman" w:eastAsia="宋体" w:hAnsi="Times New Roman"/>
          <w:szCs w:val="21"/>
        </w:rPr>
        <w:t>3.</w:t>
      </w:r>
      <w:r>
        <w:rPr>
          <w:rFonts w:ascii="Times New Roman" w:cs="Times New Roman" w:eastAsia="宋体" w:hAnsi="Times New Roman" w:hint="eastAsia"/>
          <w:szCs w:val="21"/>
        </w:rPr>
        <w:t>文化素质：提升大学生的人文素养和文化底蕴，培养沟通交流、阅读理解、应用写作、文学鉴赏，促进学生的专业学习和综合素质提升。</w:t>
      </w:r>
    </w:p>
    <w:p>
      <w:pPr>
        <w:pStyle w:val="style0"/>
        <w:snapToGrid w:val="false"/>
        <w:spacing w:lineRule="exact" w:line="380"/>
        <w:ind w:firstLine="420" w:firstLineChars="200"/>
        <w:rPr>
          <w:rFonts w:ascii="Times New Roman" w:cs="Times New Roman" w:eastAsia="宋体" w:hAnsi="Times New Roman"/>
          <w:szCs w:val="21"/>
        </w:rPr>
      </w:pPr>
      <w:r>
        <w:rPr>
          <w:rFonts w:ascii="Times New Roman" w:cs="Times New Roman" w:eastAsia="宋体" w:hAnsi="Times New Roman"/>
          <w:szCs w:val="21"/>
        </w:rPr>
        <w:t>4.</w:t>
      </w:r>
      <w:r>
        <w:rPr>
          <w:rFonts w:ascii="Times New Roman" w:cs="Times New Roman" w:eastAsia="宋体" w:hAnsi="Times New Roman" w:hint="eastAsia"/>
          <w:szCs w:val="21"/>
        </w:rPr>
        <w:t>职业素质：树立正确的职业价值观、良好的职业精神、遵守职业法规、坚守职业理想。</w:t>
      </w:r>
    </w:p>
    <w:p>
      <w:pPr>
        <w:pStyle w:val="style0"/>
        <w:snapToGrid w:val="false"/>
        <w:spacing w:lineRule="exact" w:line="380"/>
        <w:ind w:firstLine="420" w:firstLineChars="200"/>
        <w:rPr>
          <w:rFonts w:ascii="Times New Roman" w:cs="Times New Roman" w:eastAsia="宋体" w:hAnsi="Times New Roman"/>
          <w:szCs w:val="21"/>
        </w:rPr>
      </w:pPr>
      <w:r>
        <w:rPr>
          <w:rFonts w:ascii="Times New Roman" w:cs="Times New Roman" w:eastAsia="宋体" w:hAnsi="Times New Roman"/>
          <w:szCs w:val="21"/>
        </w:rPr>
        <w:t>5.</w:t>
      </w:r>
      <w:r>
        <w:rPr>
          <w:rFonts w:ascii="Times New Roman" w:cs="Times New Roman" w:eastAsia="宋体" w:hAnsi="Times New Roman" w:hint="eastAsia"/>
          <w:szCs w:val="21"/>
        </w:rPr>
        <w:t>基本通用能力：提升通用基础能力，包括自我学习管理能力、数字运用能力、信息处理能力和中文外语能力。</w:t>
      </w:r>
    </w:p>
    <w:p>
      <w:pPr>
        <w:pStyle w:val="style0"/>
        <w:snapToGrid w:val="false"/>
        <w:spacing w:lineRule="exact" w:line="380"/>
        <w:ind w:firstLine="420" w:firstLineChars="200"/>
        <w:rPr>
          <w:rFonts w:ascii="Times New Roman" w:cs="Times New Roman" w:eastAsia="宋体" w:hAnsi="Times New Roman"/>
          <w:szCs w:val="21"/>
        </w:rPr>
      </w:pPr>
      <w:r>
        <w:rPr>
          <w:rFonts w:ascii="Times New Roman" w:cs="Times New Roman" w:eastAsia="宋体" w:hAnsi="Times New Roman"/>
          <w:szCs w:val="21"/>
        </w:rPr>
        <w:t>6.</w:t>
      </w:r>
      <w:r>
        <w:rPr>
          <w:rFonts w:ascii="Times New Roman" w:cs="Times New Roman" w:eastAsia="宋体" w:hAnsi="Times New Roman" w:hint="eastAsia"/>
          <w:szCs w:val="21"/>
        </w:rPr>
        <w:t>关键社会能力：促进有效参与社会实践、提升社会担当意识，包括交流沟通、团队合作、社会责任和社会认知能力。</w:t>
      </w:r>
    </w:p>
    <w:p>
      <w:pPr>
        <w:pStyle w:val="style0"/>
        <w:snapToGrid w:val="false"/>
        <w:spacing w:lineRule="exact" w:line="380"/>
        <w:ind w:firstLine="420" w:firstLineChars="200"/>
        <w:rPr>
          <w:rFonts w:ascii="Times New Roman" w:cs="Times New Roman" w:eastAsia="宋体" w:hAnsi="Times New Roman"/>
          <w:szCs w:val="21"/>
        </w:rPr>
      </w:pPr>
      <w:r>
        <w:rPr>
          <w:rFonts w:ascii="Times New Roman" w:cs="Times New Roman" w:eastAsia="宋体" w:hAnsi="Times New Roman"/>
          <w:szCs w:val="21"/>
        </w:rPr>
        <w:t>7.</w:t>
      </w:r>
      <w:r>
        <w:rPr>
          <w:rFonts w:ascii="Times New Roman" w:cs="Times New Roman" w:eastAsia="宋体" w:hAnsi="Times New Roman" w:hint="eastAsia"/>
          <w:szCs w:val="21"/>
        </w:rPr>
        <w:t>创新创业能力：培养良好的创新精神、创造性思维，促进参与创业实践，提升复合型能力和综合素质。</w:t>
      </w:r>
    </w:p>
    <w:p>
      <w:pPr>
        <w:pStyle w:val="style0"/>
        <w:snapToGrid w:val="false"/>
        <w:spacing w:lineRule="exact" w:line="380"/>
        <w:ind w:firstLine="420" w:firstLineChars="200"/>
        <w:rPr>
          <w:rFonts w:ascii="Times New Roman" w:cs="Times New Roman" w:eastAsia="宋体" w:hAnsi="Times New Roman"/>
          <w:szCs w:val="21"/>
        </w:rPr>
      </w:pPr>
      <w:r>
        <w:rPr>
          <w:rFonts w:ascii="Times New Roman" w:cs="Times New Roman" w:eastAsia="宋体" w:hAnsi="Times New Roman"/>
          <w:szCs w:val="21"/>
        </w:rPr>
        <w:t>8.</w:t>
      </w:r>
      <w:r>
        <w:rPr>
          <w:rFonts w:ascii="Times New Roman" w:cs="Times New Roman" w:eastAsia="宋体" w:hAnsi="Times New Roman" w:hint="eastAsia"/>
          <w:szCs w:val="21"/>
        </w:rPr>
        <w:t>工匠精神：融“工匠精神”于课程教学中，培养学生敬业、精益、专注等方面的能力，引导学生具有追求极致和卓越、精益求精、配合协作的精神。</w:t>
      </w:r>
    </w:p>
    <w:p>
      <w:pPr>
        <w:pStyle w:val="style0"/>
        <w:snapToGrid w:val="false"/>
        <w:spacing w:lineRule="exact" w:line="380"/>
        <w:ind w:firstLine="420" w:firstLineChars="200"/>
        <w:rPr>
          <w:rFonts w:ascii="Times New Roman" w:cs="Times New Roman" w:eastAsia="宋体" w:hAnsi="Times New Roman"/>
          <w:szCs w:val="21"/>
        </w:rPr>
      </w:pPr>
      <w:r>
        <w:rPr>
          <w:rFonts w:ascii="Times New Roman" w:cs="Times New Roman" w:eastAsia="宋体" w:hAnsi="Times New Roman"/>
          <w:szCs w:val="21"/>
        </w:rPr>
        <w:t>9.</w:t>
      </w:r>
      <w:r>
        <w:rPr>
          <w:rFonts w:ascii="Times New Roman" w:cs="Times New Roman" w:eastAsia="宋体" w:hAnsi="Times New Roman" w:hint="eastAsia"/>
          <w:szCs w:val="21"/>
        </w:rPr>
        <w:t>劳动素养：具备职业荣誉感和责任感，积极向上的劳动精神和认真负责的劳动态度；具有良好的敬业精神和吃苦耐劳、团结合作、严谨细致的工作态度。</w:t>
      </w:r>
    </w:p>
    <w:p>
      <w:pPr>
        <w:pStyle w:val="style0"/>
        <w:snapToGrid w:val="false"/>
        <w:spacing w:lineRule="exact" w:line="380"/>
        <w:ind w:firstLine="420" w:firstLineChars="200"/>
        <w:outlineLvl w:val="1"/>
        <w:rPr>
          <w:rFonts w:ascii="Times New Roman" w:eastAsia="宋体" w:hAnsi="Times New Roman"/>
          <w:szCs w:val="21"/>
        </w:rPr>
      </w:pPr>
      <w:r>
        <w:rPr>
          <w:rFonts w:ascii="Times New Roman" w:eastAsia="宋体" w:hAnsi="Times New Roman" w:hint="eastAsia"/>
          <w:szCs w:val="21"/>
        </w:rPr>
        <w:t>（二）专业职业能力及职业素质</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1. 网</w:t>
      </w:r>
      <w:r>
        <w:rPr>
          <w:rFonts w:ascii="宋体" w:cs="宋体" w:eastAsia="宋体" w:hAnsi="宋体"/>
          <w:szCs w:val="21"/>
        </w:rPr>
        <w:t>店</w:t>
      </w:r>
      <w:r>
        <w:rPr>
          <w:rFonts w:ascii="宋体" w:cs="宋体" w:eastAsia="宋体" w:hAnsi="宋体" w:hint="eastAsia"/>
          <w:szCs w:val="21"/>
        </w:rPr>
        <w:t>客服</w:t>
      </w:r>
      <w:r>
        <w:rPr>
          <w:rFonts w:ascii="宋体" w:cs="宋体" w:eastAsia="宋体" w:hAnsi="宋体" w:hint="eastAsia"/>
        </w:rPr>
        <w:t>专业职业能力及职业素质</w:t>
      </w:r>
    </w:p>
    <w:p>
      <w:pPr>
        <w:pStyle w:val="style0"/>
        <w:snapToGrid w:val="false"/>
        <w:spacing w:lineRule="exact" w:line="380"/>
        <w:ind w:firstLine="420" w:firstLineChars="200"/>
        <w:rPr>
          <w:rFonts w:ascii="宋体" w:cs="宋体" w:eastAsia="宋体" w:hAnsi="宋体"/>
          <w:szCs w:val="21"/>
        </w:rPr>
      </w:pPr>
      <w:r>
        <w:rPr>
          <w:rFonts w:ascii="宋体" w:cs="宋体" w:eastAsia="宋体" w:hAnsi="宋体" w:hint="eastAsia"/>
          <w:szCs w:val="21"/>
        </w:rPr>
        <w:t>（1）跟进每日订单记录，对订单下单，发货进行跟踪把控，避免出现问题；</w:t>
      </w:r>
    </w:p>
    <w:p>
      <w:pPr>
        <w:pStyle w:val="style0"/>
        <w:snapToGrid w:val="false"/>
        <w:spacing w:lineRule="exact" w:line="380"/>
        <w:ind w:firstLine="420" w:firstLineChars="200"/>
        <w:rPr>
          <w:rFonts w:ascii="宋体" w:cs="宋体" w:eastAsia="宋体" w:hAnsi="宋体"/>
          <w:szCs w:val="21"/>
        </w:rPr>
      </w:pPr>
      <w:r>
        <w:rPr>
          <w:rFonts w:ascii="宋体" w:cs="宋体" w:eastAsia="宋体" w:hAnsi="宋体" w:hint="eastAsia"/>
          <w:szCs w:val="21"/>
        </w:rPr>
        <w:t>（2）负责客户投诉及处理；</w:t>
      </w:r>
    </w:p>
    <w:p>
      <w:pPr>
        <w:pStyle w:val="style0"/>
        <w:snapToGrid w:val="false"/>
        <w:spacing w:lineRule="exact" w:line="380"/>
        <w:ind w:firstLine="420" w:firstLineChars="200"/>
        <w:rPr>
          <w:rFonts w:ascii="宋体" w:cs="宋体" w:eastAsia="宋体" w:hAnsi="宋体"/>
          <w:szCs w:val="21"/>
        </w:rPr>
      </w:pPr>
      <w:r>
        <w:rPr>
          <w:rFonts w:ascii="宋体" w:cs="宋体" w:eastAsia="宋体" w:hAnsi="宋体" w:hint="eastAsia"/>
          <w:szCs w:val="21"/>
        </w:rPr>
        <w:t>（3）处理店铺中差评，处理客户反馈与投诉，维护店铺形象及信誉度。</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2.</w:t>
      </w:r>
      <w:r>
        <w:rPr>
          <w:rFonts w:ascii="宋体" w:cs="宋体" w:eastAsia="宋体" w:hAnsi="宋体" w:hint="eastAsia"/>
        </w:rPr>
        <w:t>视觉营销专业职业能力及职业素质</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（1）</w:t>
      </w:r>
      <w:r>
        <w:rPr>
          <w:rFonts w:ascii="宋体" w:cs="宋体" w:eastAsia="宋体" w:hAnsi="宋体" w:hint="eastAsia"/>
        </w:rPr>
        <w:t>店面整体形象设计更新、商品描述美化、图片处理、促销活动平面支持等；</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（2）</w:t>
      </w:r>
      <w:r>
        <w:rPr>
          <w:rFonts w:ascii="宋体" w:cs="宋体" w:eastAsia="宋体" w:hAnsi="宋体" w:hint="eastAsia"/>
        </w:rPr>
        <w:t>制作产品描述，上传商品 ；</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（3）</w:t>
      </w:r>
      <w:r>
        <w:rPr>
          <w:rFonts w:ascii="宋体" w:cs="宋体" w:eastAsia="宋体" w:hAnsi="宋体" w:hint="eastAsia"/>
        </w:rPr>
        <w:t>定期制作促销图片和页面，配合店铺销售活动DM；</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（4）</w:t>
      </w:r>
      <w:r>
        <w:rPr>
          <w:rFonts w:ascii="宋体" w:cs="宋体" w:eastAsia="宋体" w:hAnsi="宋体" w:hint="eastAsia"/>
        </w:rPr>
        <w:t>美化修改产品页面，定期更新店铺主页；</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（5）</w:t>
      </w:r>
      <w:r>
        <w:rPr>
          <w:rFonts w:ascii="宋体" w:cs="宋体" w:eastAsia="宋体" w:hAnsi="宋体" w:hint="eastAsia"/>
        </w:rPr>
        <w:t>装修美化店铺。</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rPr>
        <w:t>3</w:t>
      </w:r>
      <w:r>
        <w:rPr>
          <w:rFonts w:ascii="宋体" w:cs="宋体" w:eastAsia="宋体" w:hAnsi="宋体" w:hint="eastAsia"/>
          <w:szCs w:val="21"/>
        </w:rPr>
        <w:t>.网</w:t>
      </w:r>
      <w:r>
        <w:rPr>
          <w:rFonts w:ascii="宋体" w:cs="宋体" w:eastAsia="宋体" w:hAnsi="宋体"/>
          <w:szCs w:val="21"/>
        </w:rPr>
        <w:t>店</w:t>
      </w:r>
      <w:r>
        <w:rPr>
          <w:rFonts w:ascii="宋体" w:cs="宋体" w:eastAsia="宋体" w:hAnsi="宋体" w:hint="eastAsia"/>
        </w:rPr>
        <w:t>运营推广专业职业能力及职业素质</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（1）</w:t>
      </w:r>
      <w:r>
        <w:rPr>
          <w:rFonts w:ascii="宋体" w:cs="宋体" w:eastAsia="宋体" w:hAnsi="宋体" w:hint="eastAsia"/>
        </w:rPr>
        <w:t>负责公司淘宝推广，提高店铺点击量、浏览量和转化率，完成在公司自己制定的目标销售；</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（2）</w:t>
      </w:r>
      <w:r>
        <w:rPr>
          <w:rFonts w:ascii="宋体" w:cs="宋体" w:eastAsia="宋体" w:hAnsi="宋体" w:hint="eastAsia"/>
        </w:rPr>
        <w:t>熟悉淘宝网站后台操作及各类网络营销方法；</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（3）</w:t>
      </w:r>
      <w:r>
        <w:rPr>
          <w:rFonts w:ascii="宋体" w:cs="宋体" w:eastAsia="宋体" w:hAnsi="宋体" w:hint="eastAsia"/>
        </w:rPr>
        <w:t>定期针对推广效果进行跟踪，评估，及时提出营销改进措施，给出切实可行的改进方案；</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（4）</w:t>
      </w:r>
      <w:r>
        <w:rPr>
          <w:rFonts w:ascii="宋体" w:cs="宋体" w:eastAsia="宋体" w:hAnsi="宋体" w:hint="eastAsia"/>
        </w:rPr>
        <w:t>每日监控的数据：营销数据、交易数据、商品管理、顾客管理；</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（5）</w:t>
      </w:r>
      <w:r>
        <w:rPr>
          <w:rFonts w:ascii="宋体" w:cs="宋体" w:eastAsia="宋体" w:hAnsi="宋体" w:hint="eastAsia"/>
        </w:rPr>
        <w:t>熟悉直通车的基本规则，直通车关键词的选择，直通车出价；直通车的六大报表的分析解读；</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（6）</w:t>
      </w:r>
      <w:r>
        <w:rPr>
          <w:rFonts w:ascii="宋体" w:cs="宋体" w:eastAsia="宋体" w:hAnsi="宋体" w:hint="eastAsia"/>
        </w:rPr>
        <w:t>策划实施店铺促销活动，节假日，店庆等整店促销活动；</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（7）</w:t>
      </w:r>
      <w:r>
        <w:rPr>
          <w:rFonts w:ascii="宋体" w:cs="宋体" w:eastAsia="宋体" w:hAnsi="宋体" w:hint="eastAsia"/>
        </w:rPr>
        <w:t>价格比较与维护，保持价格竞争力，促销、限时打折价格设定；</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（8）</w:t>
      </w:r>
      <w:r>
        <w:rPr>
          <w:rFonts w:ascii="宋体" w:cs="宋体" w:eastAsia="宋体" w:hAnsi="宋体" w:hint="eastAsia"/>
        </w:rPr>
        <w:t>店铺日常安全维护，数据监控，问题检查，保证网店的正常运作，跟踪淘宝最新规则；</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szCs w:val="21"/>
        </w:rPr>
        <w:t>（9）</w:t>
      </w:r>
      <w:r>
        <w:rPr>
          <w:rFonts w:ascii="宋体" w:cs="宋体" w:eastAsia="宋体" w:hAnsi="宋体" w:hint="eastAsia"/>
        </w:rPr>
        <w:t>负责定期分析销售数据并提交分析报告。</w:t>
      </w:r>
    </w:p>
    <w:p>
      <w:pPr>
        <w:pStyle w:val="style0"/>
        <w:snapToGrid w:val="false"/>
        <w:spacing w:lineRule="exact" w:line="380"/>
        <w:ind w:firstLine="420" w:firstLineChars="200"/>
        <w:outlineLvl w:val="1"/>
        <w:rPr>
          <w:rFonts w:ascii="Times New Roman" w:eastAsia="宋体" w:hAnsi="Times New Roman"/>
          <w:szCs w:val="21"/>
        </w:rPr>
      </w:pPr>
      <w:r>
        <w:rPr>
          <w:rFonts w:ascii="Times New Roman" w:eastAsia="宋体" w:hAnsi="Times New Roman" w:hint="eastAsia"/>
          <w:szCs w:val="21"/>
        </w:rPr>
        <w:t>（三）职业资格证书要求</w:t>
      </w:r>
    </w:p>
    <w:p>
      <w:pPr>
        <w:pStyle w:val="style0"/>
        <w:snapToGrid w:val="false"/>
        <w:spacing w:lineRule="exact" w:line="380"/>
        <w:ind w:firstLine="420" w:firstLineChars="200"/>
        <w:outlineLvl w:val="0"/>
        <w:rPr>
          <w:rFonts w:ascii="宋体" w:cs="宋体" w:eastAsia="宋体" w:hAnsi="宋体"/>
          <w:bCs/>
          <w:szCs w:val="21"/>
        </w:rPr>
      </w:pPr>
      <w:r>
        <w:rPr>
          <w:rFonts w:ascii="宋体" w:cs="宋体" w:eastAsia="宋体" w:hAnsi="宋体" w:hint="eastAsia"/>
          <w:bCs/>
          <w:szCs w:val="21"/>
        </w:rPr>
        <w:t>组织学生在第三或第四学期，参加</w:t>
      </w:r>
      <w:r>
        <w:rPr>
          <w:rFonts w:ascii="宋体" w:cs="宋体" w:eastAsia="宋体" w:hAnsi="宋体"/>
          <w:bCs/>
          <w:szCs w:val="21"/>
        </w:rPr>
        <w:t>工业和信息化部</w:t>
      </w:r>
      <w:r>
        <w:rPr>
          <w:rFonts w:ascii="宋体" w:cs="宋体" w:eastAsia="宋体" w:hAnsi="宋体" w:hint="eastAsia"/>
          <w:bCs/>
          <w:szCs w:val="21"/>
        </w:rPr>
        <w:t>组织的电子</w:t>
      </w:r>
      <w:r>
        <w:rPr>
          <w:rFonts w:ascii="宋体" w:cs="宋体" w:eastAsia="宋体" w:hAnsi="宋体"/>
          <w:bCs/>
          <w:szCs w:val="21"/>
        </w:rPr>
        <w:t>商务师</w:t>
      </w:r>
      <w:r>
        <w:rPr>
          <w:rFonts w:ascii="宋体" w:cs="宋体" w:eastAsia="宋体" w:hAnsi="宋体" w:hint="eastAsia"/>
          <w:bCs/>
          <w:szCs w:val="21"/>
        </w:rPr>
        <w:t>资格证书考证，获取电子商务师证书。（注：电子商务证书四选一）</w:t>
      </w:r>
    </w:p>
    <w:p>
      <w:pPr>
        <w:pStyle w:val="style0"/>
        <w:snapToGrid w:val="false"/>
        <w:spacing w:lineRule="exact" w:line="380"/>
        <w:ind w:firstLine="420" w:firstLineChars="200"/>
        <w:outlineLvl w:val="0"/>
        <w:rPr>
          <w:rFonts w:ascii="宋体" w:cs="宋体" w:eastAsia="宋体" w:hAnsi="宋体"/>
          <w:bCs/>
          <w:szCs w:val="21"/>
        </w:rPr>
      </w:pPr>
      <w:r>
        <w:rPr>
          <w:rFonts w:ascii="宋体" w:cs="宋体" w:eastAsia="宋体" w:hAnsi="宋体" w:hint="eastAsia"/>
          <w:bCs/>
          <w:szCs w:val="21"/>
        </w:rPr>
        <w:t>组织学生在第三或第四学期，参加</w:t>
      </w:r>
      <w:r>
        <w:rPr>
          <w:rFonts w:ascii="宋体" w:cs="宋体" w:eastAsia="宋体" w:hAnsi="宋体"/>
          <w:bCs/>
          <w:szCs w:val="21"/>
        </w:rPr>
        <w:t>国家劳动和社会保障部</w:t>
      </w:r>
      <w:r>
        <w:rPr>
          <w:rFonts w:ascii="宋体" w:cs="宋体" w:eastAsia="宋体" w:hAnsi="宋体" w:hint="eastAsia"/>
          <w:bCs/>
          <w:szCs w:val="21"/>
        </w:rPr>
        <w:t>组织的电子商务职业资格证书考证，获取电子商务员（四级）证书。（注：电子商务证书四选一）</w:t>
      </w:r>
    </w:p>
    <w:p>
      <w:pPr>
        <w:pStyle w:val="style0"/>
        <w:snapToGrid w:val="false"/>
        <w:spacing w:lineRule="exact" w:line="380"/>
        <w:ind w:firstLine="420" w:firstLineChars="200"/>
        <w:outlineLvl w:val="0"/>
        <w:rPr>
          <w:rFonts w:ascii="宋体" w:cs="宋体" w:eastAsia="宋体" w:hAnsi="宋体"/>
          <w:bCs/>
          <w:szCs w:val="21"/>
        </w:rPr>
      </w:pPr>
      <w:r>
        <w:rPr>
          <w:rFonts w:ascii="宋体" w:cs="宋体" w:eastAsia="宋体" w:hAnsi="宋体" w:hint="eastAsia"/>
          <w:bCs/>
          <w:szCs w:val="21"/>
        </w:rPr>
        <w:t>组织学生在第四或第五学期，参加1</w:t>
      </w:r>
      <w:r>
        <w:rPr>
          <w:rFonts w:ascii="宋体" w:cs="宋体" w:eastAsia="宋体" w:hAnsi="宋体"/>
          <w:bCs/>
          <w:szCs w:val="21"/>
        </w:rPr>
        <w:t>+X</w:t>
      </w:r>
      <w:r>
        <w:rPr>
          <w:rFonts w:ascii="宋体" w:cs="宋体" w:eastAsia="宋体" w:hAnsi="宋体" w:hint="eastAsia"/>
          <w:bCs/>
          <w:szCs w:val="21"/>
        </w:rPr>
        <w:t>网店</w:t>
      </w:r>
      <w:r>
        <w:rPr>
          <w:rFonts w:ascii="宋体" w:cs="宋体" w:eastAsia="宋体" w:hAnsi="宋体"/>
          <w:bCs/>
          <w:szCs w:val="21"/>
        </w:rPr>
        <w:t>运营</w:t>
      </w:r>
      <w:r>
        <w:rPr>
          <w:rFonts w:ascii="宋体" w:cs="宋体" w:eastAsia="宋体" w:hAnsi="宋体" w:hint="eastAsia"/>
          <w:bCs/>
          <w:szCs w:val="21"/>
        </w:rPr>
        <w:t>与推广或1</w:t>
      </w:r>
      <w:r>
        <w:rPr>
          <w:rFonts w:ascii="宋体" w:cs="宋体" w:eastAsia="宋体" w:hAnsi="宋体"/>
          <w:bCs/>
          <w:szCs w:val="21"/>
        </w:rPr>
        <w:t>+X</w:t>
      </w:r>
      <w:r>
        <w:rPr>
          <w:rFonts w:ascii="宋体" w:cs="宋体" w:eastAsia="宋体" w:hAnsi="宋体" w:hint="eastAsia"/>
          <w:bCs/>
          <w:szCs w:val="21"/>
        </w:rPr>
        <w:t>电子</w:t>
      </w:r>
      <w:r>
        <w:rPr>
          <w:rFonts w:ascii="宋体" w:cs="宋体" w:eastAsia="宋体" w:hAnsi="宋体"/>
          <w:bCs/>
          <w:szCs w:val="21"/>
        </w:rPr>
        <w:t>商务数据分析</w:t>
      </w:r>
      <w:r>
        <w:rPr>
          <w:rFonts w:ascii="宋体" w:cs="宋体" w:eastAsia="宋体" w:hAnsi="宋体" w:hint="eastAsia"/>
          <w:bCs/>
          <w:szCs w:val="21"/>
        </w:rPr>
        <w:t>证书考证，获取1+X网店运营与推广（中</w:t>
      </w:r>
      <w:r>
        <w:rPr>
          <w:rFonts w:ascii="宋体" w:cs="宋体" w:eastAsia="宋体" w:hAnsi="宋体"/>
          <w:bCs/>
          <w:szCs w:val="21"/>
        </w:rPr>
        <w:t>级</w:t>
      </w:r>
      <w:r>
        <w:rPr>
          <w:rFonts w:ascii="宋体" w:cs="宋体" w:eastAsia="宋体" w:hAnsi="宋体" w:hint="eastAsia"/>
          <w:bCs/>
          <w:szCs w:val="21"/>
        </w:rPr>
        <w:t>）证</w:t>
      </w:r>
      <w:r>
        <w:rPr>
          <w:rFonts w:ascii="宋体" w:cs="宋体" w:eastAsia="宋体" w:hAnsi="宋体"/>
          <w:bCs/>
          <w:szCs w:val="21"/>
        </w:rPr>
        <w:t>书</w:t>
      </w:r>
      <w:r>
        <w:rPr>
          <w:rFonts w:ascii="宋体" w:cs="宋体" w:eastAsia="宋体" w:hAnsi="宋体" w:hint="eastAsia"/>
          <w:bCs/>
          <w:szCs w:val="21"/>
        </w:rPr>
        <w:t>或1+X电子商务数据分析（中</w:t>
      </w:r>
      <w:r>
        <w:rPr>
          <w:rFonts w:ascii="宋体" w:cs="宋体" w:eastAsia="宋体" w:hAnsi="宋体"/>
          <w:bCs/>
          <w:szCs w:val="21"/>
        </w:rPr>
        <w:t>级</w:t>
      </w:r>
      <w:r>
        <w:rPr>
          <w:rFonts w:ascii="宋体" w:cs="宋体" w:eastAsia="宋体" w:hAnsi="宋体" w:hint="eastAsia"/>
          <w:bCs/>
          <w:szCs w:val="21"/>
        </w:rPr>
        <w:t>）证书。（注：电子商务证书四选一）</w:t>
      </w:r>
    </w:p>
    <w:p>
      <w:pPr>
        <w:pStyle w:val="style0"/>
        <w:snapToGrid w:val="false"/>
        <w:spacing w:lineRule="exact" w:line="380"/>
        <w:ind w:firstLine="482" w:firstLineChars="200"/>
        <w:outlineLvl w:val="0"/>
        <w:rPr>
          <w:rFonts w:ascii="Times New Roman" w:eastAsia="宋体" w:hAnsi="Times New Roman"/>
          <w:b/>
          <w:sz w:val="24"/>
        </w:rPr>
      </w:pPr>
      <w:r>
        <w:rPr>
          <w:rFonts w:ascii="Times New Roman" w:eastAsia="宋体" w:hAnsi="Times New Roman" w:hint="eastAsia"/>
          <w:b/>
          <w:sz w:val="24"/>
        </w:rPr>
        <w:t>五</w:t>
      </w:r>
      <w:r>
        <w:rPr>
          <w:rFonts w:ascii="Times New Roman" w:eastAsia="宋体" w:hAnsi="Times New Roman"/>
          <w:b/>
          <w:sz w:val="24"/>
        </w:rPr>
        <w:t>、</w:t>
      </w:r>
      <w:r>
        <w:rPr>
          <w:rFonts w:ascii="Times New Roman" w:eastAsia="宋体" w:hAnsi="Times New Roman" w:hint="eastAsia"/>
          <w:b/>
          <w:sz w:val="24"/>
        </w:rPr>
        <w:t>人才规格与对应的课程</w:t>
      </w:r>
    </w:p>
    <w:tbl>
      <w:tblPr>
        <w:tblStyle w:val="style105"/>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98"/>
        <w:gridCol w:w="1418"/>
        <w:gridCol w:w="1701"/>
        <w:gridCol w:w="5115"/>
      </w:tblGrid>
      <w:tr>
        <w:trPr>
          <w:cantSplit/>
          <w:trHeight w:val="20" w:hRule="atLeast"/>
          <w:jc w:val="center"/>
        </w:trPr>
        <w:tc>
          <w:tcPr>
            <w:tcW w:w="998" w:type="dxa"/>
            <w:tcBorders/>
            <w:vAlign w:val="center"/>
          </w:tcPr>
          <w:p>
            <w:pPr>
              <w:pStyle w:val="style0"/>
              <w:spacing w:lineRule="exact" w:line="300"/>
              <w:jc w:val="center"/>
              <w:rPr>
                <w:rFonts w:ascii="Times New Roman" w:cs="宋体" w:eastAsia="宋体" w:hAnsi="Times New Roman"/>
                <w:b/>
                <w:bCs/>
                <w:sz w:val="18"/>
              </w:rPr>
            </w:pPr>
            <w:r>
              <w:rPr>
                <w:rFonts w:ascii="Times New Roman" w:cs="宋体" w:eastAsia="宋体" w:hAnsi="Times New Roman" w:hint="eastAsia"/>
                <w:b/>
                <w:bCs/>
                <w:sz w:val="18"/>
              </w:rPr>
              <w:t>类别</w:t>
            </w:r>
          </w:p>
        </w:tc>
        <w:tc>
          <w:tcPr>
            <w:tcW w:w="1418" w:type="dxa"/>
            <w:tcBorders/>
            <w:vAlign w:val="center"/>
          </w:tcPr>
          <w:p>
            <w:pPr>
              <w:pStyle w:val="style0"/>
              <w:spacing w:lineRule="exact" w:line="300"/>
              <w:jc w:val="center"/>
              <w:rPr>
                <w:rFonts w:ascii="Times New Roman" w:cs="宋体" w:eastAsia="宋体" w:hAnsi="Times New Roman"/>
                <w:b/>
                <w:bCs/>
                <w:sz w:val="18"/>
              </w:rPr>
            </w:pPr>
            <w:r>
              <w:rPr>
                <w:rFonts w:ascii="Times New Roman" w:cs="宋体" w:eastAsia="宋体" w:hAnsi="Times New Roman" w:hint="eastAsia"/>
                <w:b/>
                <w:bCs/>
                <w:sz w:val="18"/>
              </w:rPr>
              <w:t>能力和素质</w:t>
            </w:r>
          </w:p>
          <w:p>
            <w:pPr>
              <w:pStyle w:val="style0"/>
              <w:spacing w:lineRule="exact" w:line="300"/>
              <w:jc w:val="center"/>
              <w:rPr>
                <w:rFonts w:ascii="Times New Roman" w:cs="宋体" w:eastAsia="宋体" w:hAnsi="Times New Roman"/>
                <w:b/>
                <w:bCs/>
                <w:sz w:val="18"/>
              </w:rPr>
            </w:pPr>
            <w:r>
              <w:rPr>
                <w:rFonts w:ascii="Times New Roman" w:cs="宋体" w:eastAsia="宋体" w:hAnsi="Times New Roman" w:hint="eastAsia"/>
                <w:b/>
                <w:bCs/>
                <w:sz w:val="18"/>
              </w:rPr>
              <w:t>名称</w:t>
            </w:r>
          </w:p>
        </w:tc>
        <w:tc>
          <w:tcPr>
            <w:tcW w:w="1701" w:type="dxa"/>
            <w:tcBorders/>
            <w:vAlign w:val="center"/>
          </w:tcPr>
          <w:p>
            <w:pPr>
              <w:pStyle w:val="style0"/>
              <w:spacing w:lineRule="exact" w:line="300"/>
              <w:jc w:val="center"/>
              <w:rPr>
                <w:rFonts w:ascii="Times New Roman" w:cs="宋体" w:eastAsia="宋体" w:hAnsi="Times New Roman"/>
                <w:b/>
                <w:bCs/>
                <w:sz w:val="18"/>
              </w:rPr>
            </w:pPr>
            <w:r>
              <w:rPr>
                <w:rFonts w:ascii="Times New Roman" w:cs="宋体" w:eastAsia="宋体" w:hAnsi="Times New Roman" w:hint="eastAsia"/>
                <w:b/>
                <w:bCs/>
                <w:sz w:val="18"/>
              </w:rPr>
              <w:t>具体培养目标</w:t>
            </w:r>
          </w:p>
        </w:tc>
        <w:tc>
          <w:tcPr>
            <w:tcW w:w="5115" w:type="dxa"/>
            <w:tcBorders/>
            <w:vAlign w:val="center"/>
          </w:tcPr>
          <w:p>
            <w:pPr>
              <w:pStyle w:val="style0"/>
              <w:spacing w:lineRule="exact" w:line="300"/>
              <w:jc w:val="center"/>
              <w:rPr>
                <w:rFonts w:ascii="Times New Roman" w:cs="宋体" w:eastAsia="宋体" w:hAnsi="Times New Roman"/>
                <w:b/>
                <w:bCs/>
                <w:sz w:val="18"/>
              </w:rPr>
            </w:pPr>
            <w:r>
              <w:rPr>
                <w:rFonts w:ascii="Times New Roman" w:cs="宋体" w:eastAsia="宋体" w:hAnsi="Times New Roman" w:hint="eastAsia"/>
                <w:b/>
                <w:bCs/>
                <w:sz w:val="18"/>
              </w:rPr>
              <w:t>对应的课程/活动</w:t>
            </w:r>
          </w:p>
        </w:tc>
      </w:tr>
      <w:tr>
        <w:tblPrEx/>
        <w:trPr>
          <w:cantSplit/>
          <w:trHeight w:val="20" w:hRule="atLeast"/>
          <w:jc w:val="center"/>
        </w:trPr>
        <w:tc>
          <w:tcPr>
            <w:tcW w:w="998" w:type="dxa"/>
            <w:vMerge w:val="restart"/>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通用职业能力和素质</w:t>
            </w:r>
          </w:p>
        </w:tc>
        <w:tc>
          <w:tcPr>
            <w:tcW w:w="1418" w:type="dxa"/>
            <w:vMerge w:val="restart"/>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思想政治素质</w:t>
            </w:r>
          </w:p>
        </w:tc>
        <w:tc>
          <w:tcPr>
            <w:tcW w:w="1701" w:type="dxa"/>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高尚的思想境界</w:t>
            </w:r>
          </w:p>
        </w:tc>
        <w:tc>
          <w:tcPr>
            <w:tcW w:w="5115" w:type="dxa"/>
            <w:tcBorders/>
            <w:vAlign w:val="center"/>
          </w:tcPr>
          <w:p>
            <w:pPr>
              <w:pStyle w:val="style0"/>
              <w:spacing w:lineRule="exact" w:line="240"/>
              <w:jc w:val="left"/>
              <w:rPr>
                <w:rFonts w:ascii="Times New Roman" w:cs="宋体" w:eastAsia="宋体" w:hAnsi="Times New Roman"/>
                <w:bCs/>
                <w:sz w:val="18"/>
              </w:rPr>
            </w:pPr>
            <w:r>
              <w:rPr>
                <w:rFonts w:ascii="Times New Roman" w:cs="宋体" w:eastAsia="宋体" w:hAnsi="Times New Roman" w:hint="eastAsia"/>
                <w:bCs/>
                <w:sz w:val="18"/>
              </w:rPr>
              <w:t>思想道德与法治</w:t>
            </w:r>
            <w:r>
              <w:rPr>
                <w:rFonts w:ascii="Times New Roman" w:cs="宋体" w:eastAsia="宋体" w:hAnsi="Times New Roman" w:hint="eastAsia"/>
                <w:bCs/>
                <w:sz w:val="18"/>
                <w:szCs w:val="18"/>
              </w:rPr>
              <w:t>、</w:t>
            </w:r>
            <w:r>
              <w:rPr>
                <w:rFonts w:ascii="Times New Roman" w:cs="宋体" w:eastAsia="宋体" w:hAnsi="Times New Roman" w:hint="eastAsia"/>
                <w:kern w:val="0"/>
                <w:sz w:val="18"/>
                <w:szCs w:val="18"/>
              </w:rPr>
              <w:t>毛泽东思想和中国特色社会主义理论体系概论、习近平新时代中国特色社会主义思想概论、形势与政策、五粮文化育人学思践悟、红色文化；凌志讲坛、弘扬井冈山精神等相关实践活动等</w:t>
            </w:r>
          </w:p>
        </w:tc>
      </w:tr>
      <w:tr>
        <w:tblPrEx/>
        <w:trPr>
          <w:cantSplit/>
          <w:trHeight w:val="20"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bCs/>
                <w:sz w:val="18"/>
              </w:rPr>
            </w:pPr>
          </w:p>
        </w:tc>
        <w:tc>
          <w:tcPr>
            <w:tcW w:w="1418" w:type="dxa"/>
            <w:vMerge w:val="continue"/>
            <w:tcBorders/>
            <w:vAlign w:val="center"/>
          </w:tcPr>
          <w:p>
            <w:pPr>
              <w:pStyle w:val="style0"/>
              <w:spacing w:lineRule="exact" w:line="240"/>
              <w:jc w:val="center"/>
              <w:rPr>
                <w:rFonts w:ascii="Times New Roman" w:cs="宋体" w:eastAsia="宋体" w:hAnsi="Times New Roman"/>
                <w:bCs/>
                <w:sz w:val="18"/>
              </w:rPr>
            </w:pPr>
          </w:p>
        </w:tc>
        <w:tc>
          <w:tcPr>
            <w:tcW w:w="1701" w:type="dxa"/>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敏锐的政治觉悟</w:t>
            </w:r>
          </w:p>
        </w:tc>
        <w:tc>
          <w:tcPr>
            <w:tcW w:w="5115" w:type="dxa"/>
            <w:tcBorders/>
            <w:vAlign w:val="center"/>
          </w:tcPr>
          <w:p>
            <w:pPr>
              <w:pStyle w:val="style0"/>
              <w:spacing w:lineRule="exact" w:line="240"/>
              <w:jc w:val="left"/>
              <w:rPr>
                <w:rFonts w:ascii="Times New Roman" w:cs="宋体" w:eastAsia="宋体" w:hAnsi="Times New Roman"/>
                <w:bCs/>
                <w:sz w:val="18"/>
              </w:rPr>
            </w:pPr>
            <w:r>
              <w:rPr>
                <w:rFonts w:ascii="Times New Roman" w:cs="宋体" w:eastAsia="宋体" w:hAnsi="Times New Roman" w:hint="eastAsia"/>
                <w:bCs/>
                <w:sz w:val="18"/>
              </w:rPr>
              <w:t>思想道德与法治</w:t>
            </w:r>
            <w:r>
              <w:rPr>
                <w:rFonts w:ascii="Times New Roman" w:cs="宋体" w:eastAsia="宋体" w:hAnsi="Times New Roman" w:hint="eastAsia"/>
                <w:bCs/>
                <w:sz w:val="18"/>
                <w:szCs w:val="18"/>
              </w:rPr>
              <w:t>、</w:t>
            </w:r>
            <w:r>
              <w:rPr>
                <w:rFonts w:ascii="Times New Roman" w:cs="宋体" w:eastAsia="宋体" w:hAnsi="Times New Roman" w:hint="eastAsia"/>
                <w:kern w:val="0"/>
                <w:sz w:val="18"/>
                <w:szCs w:val="18"/>
              </w:rPr>
              <w:t>毛泽东思想和中国特色社会主义理论体系概论、习近平新时代中国特色社会主义思想概论、形势与政策、红色文化、学院</w:t>
            </w:r>
            <w:r>
              <w:rPr>
                <w:rFonts w:ascii="Times New Roman" w:cs="宋体" w:eastAsia="宋体" w:hAnsi="Times New Roman" w:hint="eastAsia"/>
                <w:sz w:val="18"/>
              </w:rPr>
              <w:t>和系（部）</w:t>
            </w:r>
            <w:r>
              <w:rPr>
                <w:rFonts w:ascii="Times New Roman" w:cs="宋体" w:eastAsia="宋体" w:hAnsi="Times New Roman" w:hint="eastAsia"/>
                <w:kern w:val="0"/>
                <w:sz w:val="18"/>
                <w:szCs w:val="18"/>
              </w:rPr>
              <w:t>相关活动等</w:t>
            </w:r>
          </w:p>
        </w:tc>
      </w:tr>
      <w:tr>
        <w:tblPrEx/>
        <w:trPr>
          <w:cantSplit/>
          <w:trHeight w:val="20"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bCs/>
                <w:sz w:val="18"/>
              </w:rPr>
            </w:pPr>
          </w:p>
        </w:tc>
        <w:tc>
          <w:tcPr>
            <w:tcW w:w="1418" w:type="dxa"/>
            <w:vMerge w:val="continue"/>
            <w:tcBorders/>
            <w:vAlign w:val="center"/>
          </w:tcPr>
          <w:p>
            <w:pPr>
              <w:pStyle w:val="style0"/>
              <w:spacing w:lineRule="exact" w:line="240"/>
              <w:jc w:val="center"/>
              <w:rPr>
                <w:rFonts w:ascii="Times New Roman" w:cs="宋体" w:eastAsia="宋体" w:hAnsi="Times New Roman"/>
                <w:bCs/>
                <w:sz w:val="18"/>
              </w:rPr>
            </w:pPr>
          </w:p>
        </w:tc>
        <w:tc>
          <w:tcPr>
            <w:tcW w:w="1701" w:type="dxa"/>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优秀的道德品质</w:t>
            </w:r>
          </w:p>
        </w:tc>
        <w:tc>
          <w:tcPr>
            <w:tcW w:w="5115" w:type="dxa"/>
            <w:tcBorders/>
            <w:vAlign w:val="center"/>
          </w:tcPr>
          <w:p>
            <w:pPr>
              <w:pStyle w:val="style0"/>
              <w:spacing w:lineRule="exact" w:line="240"/>
              <w:jc w:val="left"/>
              <w:rPr>
                <w:rFonts w:ascii="Times New Roman" w:cs="宋体" w:eastAsia="宋体" w:hAnsi="Times New Roman"/>
                <w:bCs/>
                <w:sz w:val="18"/>
              </w:rPr>
            </w:pPr>
            <w:r>
              <w:rPr>
                <w:rFonts w:ascii="Times New Roman" w:cs="宋体" w:eastAsia="宋体" w:hAnsi="Times New Roman" w:hint="eastAsia"/>
                <w:bCs/>
                <w:sz w:val="18"/>
              </w:rPr>
              <w:t>思想道德与法治</w:t>
            </w:r>
            <w:r>
              <w:rPr>
                <w:rFonts w:ascii="Times New Roman" w:cs="宋体" w:eastAsia="宋体" w:hAnsi="Times New Roman" w:hint="eastAsia"/>
                <w:bCs/>
                <w:sz w:val="18"/>
                <w:szCs w:val="18"/>
              </w:rPr>
              <w:t>、</w:t>
            </w:r>
            <w:r>
              <w:rPr>
                <w:rFonts w:ascii="Times New Roman" w:cs="宋体" w:eastAsia="宋体" w:hAnsi="Times New Roman" w:hint="eastAsia"/>
                <w:kern w:val="0"/>
                <w:sz w:val="18"/>
                <w:szCs w:val="18"/>
              </w:rPr>
              <w:t>毛泽东思想和中国特色社会主义理论体系概论、习近平新时代中国特色社会主义思想概论、红色文化、五粮文化育人学思践悟、学院</w:t>
            </w:r>
            <w:r>
              <w:rPr>
                <w:rFonts w:ascii="Times New Roman" w:cs="宋体" w:eastAsia="宋体" w:hAnsi="Times New Roman" w:hint="eastAsia"/>
                <w:sz w:val="18"/>
              </w:rPr>
              <w:t>和系（部）</w:t>
            </w:r>
            <w:r>
              <w:rPr>
                <w:rFonts w:ascii="Times New Roman" w:cs="宋体" w:eastAsia="宋体" w:hAnsi="Times New Roman" w:hint="eastAsia"/>
                <w:kern w:val="0"/>
                <w:sz w:val="18"/>
                <w:szCs w:val="18"/>
              </w:rPr>
              <w:t>相关活动等</w:t>
            </w:r>
          </w:p>
        </w:tc>
      </w:tr>
      <w:tr>
        <w:tblPrEx/>
        <w:trPr>
          <w:cantSplit/>
          <w:trHeight w:val="20"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bCs/>
                <w:sz w:val="18"/>
              </w:rPr>
            </w:pPr>
          </w:p>
        </w:tc>
        <w:tc>
          <w:tcPr>
            <w:tcW w:w="1418" w:type="dxa"/>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身体素质</w:t>
            </w:r>
          </w:p>
        </w:tc>
        <w:tc>
          <w:tcPr>
            <w:tcW w:w="1701" w:type="dxa"/>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健康的身心</w:t>
            </w:r>
          </w:p>
        </w:tc>
        <w:tc>
          <w:tcPr>
            <w:tcW w:w="5115" w:type="dxa"/>
            <w:tcBorders/>
            <w:vAlign w:val="center"/>
          </w:tcPr>
          <w:p>
            <w:pPr>
              <w:pStyle w:val="style0"/>
              <w:spacing w:lineRule="exact" w:line="240"/>
              <w:jc w:val="left"/>
              <w:rPr>
                <w:rFonts w:ascii="Times New Roman" w:cs="宋体" w:eastAsia="宋体" w:hAnsi="Times New Roman"/>
                <w:bCs/>
                <w:sz w:val="18"/>
              </w:rPr>
            </w:pPr>
            <w:r>
              <w:rPr>
                <w:rFonts w:ascii="Times New Roman" w:cs="宋体" w:eastAsia="宋体" w:hAnsi="Times New Roman" w:hint="eastAsia"/>
                <w:bCs/>
                <w:sz w:val="18"/>
              </w:rPr>
              <w:t>体育与健康、大学生心理健康教育、大学生健康教育以及围绕锻炼身体的相关体育竞技运动和活动等</w:t>
            </w:r>
          </w:p>
        </w:tc>
      </w:tr>
      <w:tr>
        <w:tblPrEx/>
        <w:trPr>
          <w:cantSplit/>
          <w:trHeight w:val="20"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bCs/>
                <w:sz w:val="18"/>
              </w:rPr>
            </w:pPr>
          </w:p>
        </w:tc>
        <w:tc>
          <w:tcPr>
            <w:tcW w:w="1418" w:type="dxa"/>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文化素质</w:t>
            </w:r>
          </w:p>
        </w:tc>
        <w:tc>
          <w:tcPr>
            <w:tcW w:w="1701" w:type="dxa"/>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良好的文化底蕴</w:t>
            </w:r>
          </w:p>
        </w:tc>
        <w:tc>
          <w:tcPr>
            <w:tcW w:w="5115" w:type="dxa"/>
            <w:tcBorders/>
            <w:vAlign w:val="center"/>
          </w:tcPr>
          <w:p>
            <w:pPr>
              <w:pStyle w:val="style0"/>
              <w:spacing w:lineRule="exact" w:line="240"/>
              <w:jc w:val="left"/>
              <w:rPr>
                <w:rFonts w:ascii="Times New Roman" w:cs="宋体" w:eastAsia="宋体" w:hAnsi="Times New Roman"/>
                <w:bCs/>
                <w:sz w:val="18"/>
              </w:rPr>
            </w:pPr>
            <w:r>
              <w:rPr>
                <w:rFonts w:ascii="Times New Roman" w:cs="宋体" w:eastAsia="宋体" w:hAnsi="Times New Roman" w:hint="eastAsia"/>
                <w:bCs/>
                <w:sz w:val="18"/>
              </w:rPr>
              <w:t>实用大学语文、</w:t>
            </w:r>
            <w:r>
              <w:rPr>
                <w:rFonts w:ascii="Times New Roman" w:cs="宋体" w:eastAsia="宋体" w:hAnsi="Times New Roman" w:hint="eastAsia"/>
                <w:kern w:val="0"/>
                <w:sz w:val="18"/>
                <w:szCs w:val="18"/>
              </w:rPr>
              <w:t>红色文化、</w:t>
            </w:r>
            <w:r>
              <w:rPr>
                <w:rFonts w:ascii="Times New Roman" w:cs="宋体" w:eastAsia="宋体" w:hAnsi="Times New Roman" w:hint="eastAsia"/>
                <w:bCs/>
                <w:sz w:val="18"/>
              </w:rPr>
              <w:t>人文及美育素养类选修课</w:t>
            </w:r>
          </w:p>
        </w:tc>
      </w:tr>
      <w:tr>
        <w:tblPrEx/>
        <w:trPr>
          <w:cantSplit/>
          <w:trHeight w:val="20"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bCs/>
                <w:sz w:val="18"/>
              </w:rPr>
            </w:pPr>
          </w:p>
        </w:tc>
        <w:tc>
          <w:tcPr>
            <w:tcW w:w="1418" w:type="dxa"/>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职业素质</w:t>
            </w:r>
          </w:p>
        </w:tc>
        <w:tc>
          <w:tcPr>
            <w:tcW w:w="1701" w:type="dxa"/>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正确的职业价值观</w:t>
            </w:r>
          </w:p>
        </w:tc>
        <w:tc>
          <w:tcPr>
            <w:tcW w:w="5115" w:type="dxa"/>
            <w:tcBorders/>
            <w:vAlign w:val="center"/>
          </w:tcPr>
          <w:p>
            <w:pPr>
              <w:pStyle w:val="style0"/>
              <w:spacing w:lineRule="exact" w:line="240"/>
              <w:jc w:val="left"/>
              <w:rPr>
                <w:rFonts w:ascii="Times New Roman" w:cs="宋体" w:eastAsia="宋体" w:hAnsi="Times New Roman"/>
                <w:bCs/>
                <w:sz w:val="18"/>
              </w:rPr>
            </w:pPr>
            <w:r>
              <w:rPr>
                <w:rFonts w:ascii="Times New Roman" w:cs="宋体" w:eastAsia="宋体" w:hAnsi="Times New Roman" w:hint="eastAsia"/>
                <w:kern w:val="0"/>
                <w:sz w:val="18"/>
                <w:szCs w:val="18"/>
              </w:rPr>
              <w:t>思想道德与法治、劳动教育、</w:t>
            </w:r>
            <w:r>
              <w:rPr>
                <w:rFonts w:ascii="Times New Roman" w:cs="宋体" w:eastAsia="宋体" w:hAnsi="Times New Roman" w:hint="eastAsia"/>
                <w:bCs/>
                <w:kern w:val="0"/>
                <w:sz w:val="18"/>
                <w:szCs w:val="18"/>
              </w:rPr>
              <w:t>职业生涯规划、</w:t>
            </w:r>
            <w:r>
              <w:rPr>
                <w:rFonts w:ascii="Times New Roman" w:cs="宋体" w:eastAsia="宋体" w:hAnsi="Times New Roman" w:hint="eastAsia"/>
                <w:kern w:val="0"/>
                <w:sz w:val="18"/>
                <w:szCs w:val="18"/>
              </w:rPr>
              <w:t>大学生创新创业基础、大学生就业指导、创新创业类选修课、学院</w:t>
            </w:r>
            <w:r>
              <w:rPr>
                <w:rFonts w:ascii="Times New Roman" w:cs="宋体" w:eastAsia="宋体" w:hAnsi="Times New Roman" w:hint="eastAsia"/>
                <w:sz w:val="18"/>
              </w:rPr>
              <w:t>和系（部）</w:t>
            </w:r>
            <w:r>
              <w:rPr>
                <w:rFonts w:ascii="Times New Roman" w:cs="宋体" w:eastAsia="宋体" w:hAnsi="Times New Roman" w:hint="eastAsia"/>
                <w:kern w:val="0"/>
                <w:sz w:val="18"/>
                <w:szCs w:val="18"/>
              </w:rPr>
              <w:t>相关活动等</w:t>
            </w:r>
          </w:p>
        </w:tc>
      </w:tr>
      <w:tr>
        <w:tblPrEx/>
        <w:trPr>
          <w:cantSplit/>
          <w:trHeight w:val="490"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bCs/>
                <w:sz w:val="18"/>
              </w:rPr>
            </w:pPr>
          </w:p>
        </w:tc>
        <w:tc>
          <w:tcPr>
            <w:tcW w:w="1418" w:type="dxa"/>
            <w:vMerge w:val="restart"/>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基本通用能力</w:t>
            </w:r>
          </w:p>
        </w:tc>
        <w:tc>
          <w:tcPr>
            <w:tcW w:w="1701" w:type="dxa"/>
            <w:tcBorders/>
            <w:vAlign w:val="center"/>
          </w:tcPr>
          <w:p>
            <w:pPr>
              <w:pStyle w:val="style0"/>
              <w:spacing w:lineRule="exact" w:line="240"/>
              <w:jc w:val="center"/>
              <w:rPr>
                <w:rFonts w:ascii="Times New Roman" w:cs="宋体" w:eastAsia="宋体" w:hAnsi="Times New Roman"/>
                <w:bCs/>
                <w:sz w:val="18"/>
              </w:rPr>
            </w:pPr>
            <w:r>
              <w:rPr>
                <w:rFonts w:ascii="Times New Roman" w:cs="宋体" w:eastAsia="宋体" w:hAnsi="Times New Roman" w:hint="eastAsia"/>
                <w:bCs/>
                <w:sz w:val="18"/>
              </w:rPr>
              <w:t>自我学习管理能力、安全意识和防范能力</w:t>
            </w:r>
          </w:p>
        </w:tc>
        <w:tc>
          <w:tcPr>
            <w:tcW w:w="5115" w:type="dxa"/>
            <w:tcBorders/>
            <w:vAlign w:val="center"/>
          </w:tcPr>
          <w:p>
            <w:pPr>
              <w:pStyle w:val="style0"/>
              <w:spacing w:lineRule="exact" w:line="240"/>
              <w:jc w:val="left"/>
              <w:rPr>
                <w:rFonts w:ascii="Times New Roman" w:cs="宋体" w:eastAsia="宋体" w:hAnsi="Times New Roman"/>
                <w:bCs/>
                <w:sz w:val="18"/>
              </w:rPr>
            </w:pPr>
            <w:r>
              <w:rPr>
                <w:rFonts w:ascii="Times New Roman" w:cs="宋体" w:eastAsia="宋体" w:hAnsi="Times New Roman" w:hint="eastAsia"/>
                <w:bCs/>
                <w:sz w:val="18"/>
              </w:rPr>
              <w:t>军事训练与军事理论、</w:t>
            </w:r>
            <w:r>
              <w:rPr>
                <w:rFonts w:ascii="Times New Roman" w:cs="宋体" w:eastAsia="宋体" w:hAnsi="Times New Roman" w:hint="eastAsia"/>
                <w:bCs/>
                <w:kern w:val="0"/>
                <w:sz w:val="18"/>
                <w:szCs w:val="18"/>
              </w:rPr>
              <w:t>职业生涯规划</w:t>
            </w:r>
            <w:r>
              <w:rPr>
                <w:rFonts w:ascii="Times New Roman" w:cs="宋体" w:eastAsia="宋体" w:hAnsi="Times New Roman" w:hint="eastAsia"/>
                <w:bCs/>
                <w:sz w:val="18"/>
              </w:rPr>
              <w:t>、大学生心理健康教育、、大学生安全教育、大学生健康教育；围绕提高自我学习管理能力的相关活动等</w:t>
            </w:r>
          </w:p>
        </w:tc>
      </w:tr>
      <w:tr>
        <w:tblPrEx/>
        <w:trPr>
          <w:cantSplit/>
          <w:trHeight w:val="20"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vMerge w:val="continue"/>
            <w:tcBorders/>
            <w:vAlign w:val="center"/>
          </w:tcPr>
          <w:p>
            <w:pPr>
              <w:pStyle w:val="style0"/>
              <w:spacing w:lineRule="exact" w:line="240"/>
              <w:jc w:val="center"/>
              <w:rPr>
                <w:rFonts w:ascii="Times New Roman" w:cs="宋体" w:eastAsia="宋体" w:hAnsi="Times New Roman"/>
                <w:sz w:val="18"/>
              </w:rPr>
            </w:pPr>
          </w:p>
        </w:tc>
        <w:tc>
          <w:tcPr>
            <w:tcW w:w="1701" w:type="dxa"/>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数字运用能力</w:t>
            </w:r>
          </w:p>
        </w:tc>
        <w:tc>
          <w:tcPr>
            <w:tcW w:w="5115" w:type="dxa"/>
            <w:tcBorders/>
            <w:vAlign w:val="center"/>
          </w:tcPr>
          <w:p>
            <w:pPr>
              <w:pStyle w:val="style0"/>
              <w:spacing w:lineRule="exact" w:line="240"/>
              <w:jc w:val="left"/>
              <w:rPr>
                <w:rFonts w:ascii="Times New Roman" w:cs="宋体" w:eastAsia="宋体" w:hAnsi="Times New Roman"/>
                <w:sz w:val="18"/>
              </w:rPr>
            </w:pPr>
            <w:r>
              <w:rPr>
                <w:rFonts w:ascii="Times New Roman" w:cs="宋体" w:eastAsia="宋体" w:hAnsi="Times New Roman" w:hint="eastAsia"/>
                <w:sz w:val="18"/>
              </w:rPr>
              <w:t>信息技术、数学建模比赛等</w:t>
            </w:r>
          </w:p>
        </w:tc>
      </w:tr>
      <w:tr>
        <w:tblPrEx/>
        <w:trPr>
          <w:cantSplit/>
          <w:trHeight w:val="20"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vMerge w:val="continue"/>
            <w:tcBorders/>
            <w:vAlign w:val="center"/>
          </w:tcPr>
          <w:p>
            <w:pPr>
              <w:pStyle w:val="style0"/>
              <w:spacing w:lineRule="exact" w:line="240"/>
              <w:jc w:val="center"/>
              <w:rPr>
                <w:rFonts w:ascii="Times New Roman" w:cs="宋体" w:eastAsia="宋体" w:hAnsi="Times New Roman"/>
                <w:sz w:val="18"/>
              </w:rPr>
            </w:pPr>
          </w:p>
        </w:tc>
        <w:tc>
          <w:tcPr>
            <w:tcW w:w="1701" w:type="dxa"/>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信息处理能力</w:t>
            </w:r>
          </w:p>
        </w:tc>
        <w:tc>
          <w:tcPr>
            <w:tcW w:w="5115" w:type="dxa"/>
            <w:tcBorders/>
            <w:vAlign w:val="center"/>
          </w:tcPr>
          <w:p>
            <w:pPr>
              <w:pStyle w:val="style0"/>
              <w:spacing w:lineRule="exact" w:line="240"/>
              <w:jc w:val="left"/>
              <w:rPr>
                <w:rFonts w:ascii="Times New Roman" w:cs="宋体" w:eastAsia="宋体" w:hAnsi="Times New Roman"/>
                <w:sz w:val="18"/>
              </w:rPr>
            </w:pPr>
            <w:r>
              <w:rPr>
                <w:rFonts w:ascii="Times New Roman" w:cs="宋体" w:eastAsia="宋体" w:hAnsi="Times New Roman" w:hint="eastAsia"/>
                <w:sz w:val="18"/>
              </w:rPr>
              <w:t>信息技术、电子与信息大类职业技能竞赛、信息素养类选修课等</w:t>
            </w:r>
          </w:p>
        </w:tc>
      </w:tr>
      <w:tr>
        <w:tblPrEx/>
        <w:trPr>
          <w:cantSplit/>
          <w:trHeight w:val="20"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vMerge w:val="continue"/>
            <w:tcBorders/>
            <w:vAlign w:val="center"/>
          </w:tcPr>
          <w:p>
            <w:pPr>
              <w:pStyle w:val="style0"/>
              <w:spacing w:lineRule="exact" w:line="240"/>
              <w:jc w:val="center"/>
              <w:rPr>
                <w:rFonts w:ascii="Times New Roman" w:cs="宋体" w:eastAsia="宋体" w:hAnsi="Times New Roman"/>
                <w:sz w:val="18"/>
              </w:rPr>
            </w:pPr>
          </w:p>
        </w:tc>
        <w:tc>
          <w:tcPr>
            <w:tcW w:w="1701" w:type="dxa"/>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中文外语能力</w:t>
            </w:r>
          </w:p>
        </w:tc>
        <w:tc>
          <w:tcPr>
            <w:tcW w:w="5115" w:type="dxa"/>
            <w:tcBorders/>
            <w:vAlign w:val="center"/>
          </w:tcPr>
          <w:p>
            <w:pPr>
              <w:pStyle w:val="style0"/>
              <w:spacing w:lineRule="exact" w:line="240"/>
              <w:jc w:val="left"/>
              <w:rPr>
                <w:rFonts w:ascii="Times New Roman" w:cs="宋体" w:eastAsia="宋体" w:hAnsi="Times New Roman"/>
                <w:sz w:val="18"/>
              </w:rPr>
            </w:pPr>
            <w:r>
              <w:rPr>
                <w:rFonts w:ascii="Times New Roman" w:cs="宋体" w:eastAsia="宋体" w:hAnsi="Times New Roman" w:hint="eastAsia"/>
                <w:sz w:val="18"/>
              </w:rPr>
              <w:t>实用大学语文、综合英语、美育类选修课等</w:t>
            </w:r>
          </w:p>
        </w:tc>
      </w:tr>
      <w:tr>
        <w:tblPrEx/>
        <w:trPr>
          <w:cantSplit/>
          <w:trHeight w:val="20"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vMerge w:val="restart"/>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关键社会能力</w:t>
            </w:r>
          </w:p>
        </w:tc>
        <w:tc>
          <w:tcPr>
            <w:tcW w:w="1701" w:type="dxa"/>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交流沟通能力</w:t>
            </w:r>
          </w:p>
        </w:tc>
        <w:tc>
          <w:tcPr>
            <w:tcW w:w="5115" w:type="dxa"/>
            <w:tcBorders/>
            <w:vAlign w:val="center"/>
          </w:tcPr>
          <w:p>
            <w:pPr>
              <w:pStyle w:val="style0"/>
              <w:spacing w:lineRule="exact" w:line="240"/>
              <w:jc w:val="left"/>
              <w:rPr>
                <w:rFonts w:ascii="Times New Roman" w:cs="宋体" w:eastAsia="宋体" w:hAnsi="Times New Roman"/>
                <w:sz w:val="18"/>
              </w:rPr>
            </w:pPr>
            <w:r>
              <w:rPr>
                <w:rFonts w:ascii="Times New Roman" w:cs="宋体" w:eastAsia="宋体" w:hAnsi="Times New Roman" w:hint="eastAsia"/>
                <w:sz w:val="18"/>
              </w:rPr>
              <w:t>实用大学语文、大学生心理健康教育、大学生创新创业基础、创新创业实践、学院和系（部）相关活动、技能竞赛节、通用职业能力大赛等</w:t>
            </w:r>
          </w:p>
        </w:tc>
      </w:tr>
      <w:tr>
        <w:tblPrEx/>
        <w:trPr>
          <w:cantSplit/>
          <w:trHeight w:val="20"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vMerge w:val="continue"/>
            <w:tcBorders/>
            <w:vAlign w:val="center"/>
          </w:tcPr>
          <w:p>
            <w:pPr>
              <w:pStyle w:val="style0"/>
              <w:spacing w:lineRule="exact" w:line="240"/>
              <w:jc w:val="center"/>
              <w:rPr>
                <w:rFonts w:ascii="Times New Roman" w:cs="宋体" w:eastAsia="宋体" w:hAnsi="Times New Roman"/>
                <w:sz w:val="18"/>
              </w:rPr>
            </w:pPr>
          </w:p>
        </w:tc>
        <w:tc>
          <w:tcPr>
            <w:tcW w:w="1701" w:type="dxa"/>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团队合作能力</w:t>
            </w:r>
          </w:p>
        </w:tc>
        <w:tc>
          <w:tcPr>
            <w:tcW w:w="5115" w:type="dxa"/>
            <w:tcBorders/>
            <w:vAlign w:val="center"/>
          </w:tcPr>
          <w:p>
            <w:pPr>
              <w:pStyle w:val="style0"/>
              <w:spacing w:lineRule="exact" w:line="240"/>
              <w:jc w:val="left"/>
              <w:rPr>
                <w:rFonts w:ascii="Times New Roman" w:cs="宋体" w:eastAsia="宋体" w:hAnsi="Times New Roman"/>
                <w:bCs/>
                <w:sz w:val="18"/>
              </w:rPr>
            </w:pPr>
            <w:r>
              <w:rPr>
                <w:rFonts w:ascii="Times New Roman" w:cs="宋体" w:eastAsia="宋体" w:hAnsi="Times New Roman" w:hint="eastAsia"/>
                <w:sz w:val="18"/>
              </w:rPr>
              <w:t>大学生创新创业基础、创新创业实践、体育与健康、学院和系（部）相关活动、技能竞赛节、通用职业能力大赛等</w:t>
            </w:r>
          </w:p>
        </w:tc>
      </w:tr>
      <w:tr>
        <w:tblPrEx/>
        <w:trPr>
          <w:cantSplit/>
          <w:trHeight w:val="1045"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vMerge w:val="continue"/>
            <w:tcBorders/>
            <w:vAlign w:val="center"/>
          </w:tcPr>
          <w:p>
            <w:pPr>
              <w:pStyle w:val="style0"/>
              <w:spacing w:lineRule="exact" w:line="240"/>
              <w:jc w:val="center"/>
              <w:rPr>
                <w:rFonts w:ascii="Times New Roman" w:cs="宋体" w:eastAsia="宋体" w:hAnsi="Times New Roman"/>
                <w:sz w:val="18"/>
              </w:rPr>
            </w:pPr>
          </w:p>
        </w:tc>
        <w:tc>
          <w:tcPr>
            <w:tcW w:w="1701" w:type="dxa"/>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社会责任能力</w:t>
            </w:r>
          </w:p>
        </w:tc>
        <w:tc>
          <w:tcPr>
            <w:tcW w:w="5115" w:type="dxa"/>
            <w:tcBorders/>
            <w:vAlign w:val="center"/>
          </w:tcPr>
          <w:p>
            <w:pPr>
              <w:pStyle w:val="style0"/>
              <w:spacing w:lineRule="exact" w:line="240"/>
              <w:jc w:val="left"/>
              <w:rPr>
                <w:rFonts w:ascii="Times New Roman" w:cs="宋体" w:eastAsia="宋体" w:hAnsi="Times New Roman"/>
                <w:sz w:val="18"/>
              </w:rPr>
            </w:pPr>
            <w:r>
              <w:rPr>
                <w:rFonts w:ascii="Times New Roman" w:cs="宋体" w:eastAsia="宋体" w:hAnsi="Times New Roman" w:hint="eastAsia"/>
                <w:bCs/>
                <w:sz w:val="18"/>
              </w:rPr>
              <w:t>军事训练与军事理论、</w:t>
            </w:r>
            <w:r>
              <w:rPr>
                <w:rFonts w:ascii="Times New Roman" w:cs="宋体" w:eastAsia="宋体" w:hAnsi="Times New Roman" w:hint="eastAsia"/>
                <w:sz w:val="18"/>
              </w:rPr>
              <w:t>思想道德与法治、毛泽东思想和中国特色社会主义理论体系概论、习近平新时代中国特色社会主义思想概论、形势与政策、劳动教育、学院和系（部）相关活动等</w:t>
            </w:r>
          </w:p>
        </w:tc>
      </w:tr>
      <w:tr>
        <w:tblPrEx/>
        <w:trPr>
          <w:cantSplit/>
          <w:trHeight w:val="223"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vMerge w:val="continue"/>
            <w:tcBorders/>
            <w:vAlign w:val="center"/>
          </w:tcPr>
          <w:p>
            <w:pPr>
              <w:pStyle w:val="style0"/>
              <w:spacing w:lineRule="exact" w:line="240"/>
              <w:jc w:val="center"/>
              <w:rPr>
                <w:rFonts w:ascii="Times New Roman" w:cs="宋体" w:eastAsia="宋体" w:hAnsi="Times New Roman"/>
                <w:sz w:val="18"/>
              </w:rPr>
            </w:pPr>
          </w:p>
        </w:tc>
        <w:tc>
          <w:tcPr>
            <w:tcW w:w="1701" w:type="dxa"/>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社会认知能力</w:t>
            </w:r>
          </w:p>
        </w:tc>
        <w:tc>
          <w:tcPr>
            <w:tcW w:w="5115" w:type="dxa"/>
            <w:tcBorders/>
            <w:vAlign w:val="center"/>
          </w:tcPr>
          <w:p>
            <w:pPr>
              <w:pStyle w:val="style0"/>
              <w:spacing w:lineRule="exact" w:line="240"/>
              <w:jc w:val="left"/>
              <w:rPr>
                <w:rFonts w:ascii="Times New Roman" w:cs="宋体" w:eastAsia="宋体" w:hAnsi="Times New Roman"/>
                <w:sz w:val="18"/>
              </w:rPr>
            </w:pPr>
            <w:r>
              <w:rPr>
                <w:rFonts w:ascii="Times New Roman" w:cs="宋体" w:eastAsia="宋体" w:hAnsi="Times New Roman" w:hint="eastAsia"/>
                <w:bCs/>
                <w:sz w:val="18"/>
              </w:rPr>
              <w:t>思想道德与法治</w:t>
            </w:r>
            <w:r>
              <w:rPr>
                <w:rFonts w:ascii="Times New Roman" w:cs="宋体" w:eastAsia="宋体" w:hAnsi="Times New Roman" w:hint="eastAsia"/>
                <w:bCs/>
                <w:sz w:val="18"/>
                <w:szCs w:val="18"/>
              </w:rPr>
              <w:t>、</w:t>
            </w:r>
            <w:r>
              <w:rPr>
                <w:rFonts w:ascii="Times New Roman" w:cs="宋体" w:eastAsia="宋体" w:hAnsi="Times New Roman" w:hint="eastAsia"/>
                <w:kern w:val="0"/>
                <w:sz w:val="18"/>
                <w:szCs w:val="18"/>
              </w:rPr>
              <w:t>毛泽东思想和中国特色社会主义理论体系概论、</w:t>
            </w:r>
            <w:r>
              <w:rPr>
                <w:rFonts w:ascii="Times New Roman" w:cs="宋体" w:eastAsia="宋体" w:hAnsi="Times New Roman" w:hint="eastAsia"/>
                <w:sz w:val="18"/>
              </w:rPr>
              <w:t>习近平新时代中国特色社会主义思想概论、</w:t>
            </w:r>
            <w:r>
              <w:rPr>
                <w:rFonts w:ascii="Times New Roman" w:cs="宋体" w:eastAsia="宋体" w:hAnsi="Times New Roman" w:hint="eastAsia"/>
                <w:kern w:val="0"/>
                <w:sz w:val="18"/>
                <w:szCs w:val="18"/>
              </w:rPr>
              <w:t>形势与政策、劳动教育、</w:t>
            </w:r>
            <w:r>
              <w:rPr>
                <w:rFonts w:ascii="Times New Roman" w:cs="宋体" w:eastAsia="宋体" w:hAnsi="Times New Roman" w:hint="eastAsia"/>
                <w:sz w:val="18"/>
              </w:rPr>
              <w:t>大学生创新创业基础、创新创业实践、学院和系（部）相关活动等</w:t>
            </w:r>
          </w:p>
        </w:tc>
      </w:tr>
      <w:tr>
        <w:tblPrEx/>
        <w:trPr>
          <w:cantSplit/>
          <w:trHeight w:val="223"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创新创业能力</w:t>
            </w:r>
          </w:p>
        </w:tc>
        <w:tc>
          <w:tcPr>
            <w:tcW w:w="1701" w:type="dxa"/>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良好的创新精神、创造性思维、创业实践</w:t>
            </w:r>
          </w:p>
        </w:tc>
        <w:tc>
          <w:tcPr>
            <w:tcW w:w="5115" w:type="dxa"/>
            <w:tcBorders/>
            <w:vAlign w:val="center"/>
          </w:tcPr>
          <w:p>
            <w:pPr>
              <w:pStyle w:val="style0"/>
              <w:spacing w:lineRule="exact" w:line="240"/>
              <w:jc w:val="left"/>
              <w:rPr>
                <w:rFonts w:ascii="Times New Roman" w:cs="宋体" w:eastAsia="宋体" w:hAnsi="Times New Roman"/>
                <w:bCs/>
                <w:sz w:val="18"/>
              </w:rPr>
            </w:pPr>
            <w:r>
              <w:rPr>
                <w:rFonts w:ascii="Times New Roman" w:cs="宋体" w:eastAsia="宋体" w:hAnsi="Times New Roman" w:hint="eastAsia"/>
                <w:bCs/>
                <w:kern w:val="0"/>
                <w:sz w:val="18"/>
                <w:szCs w:val="18"/>
              </w:rPr>
              <w:t>职业生涯规划、</w:t>
            </w:r>
            <w:r>
              <w:rPr>
                <w:rFonts w:ascii="Times New Roman" w:cs="宋体" w:eastAsia="宋体" w:hAnsi="Times New Roman" w:hint="eastAsia"/>
                <w:sz w:val="18"/>
              </w:rPr>
              <w:t>大学生创新创业基础、创新创业实践、学院和系（部）相关活动、技能竞赛节、通用职业能力大赛</w:t>
            </w:r>
            <w:r>
              <w:rPr>
                <w:rFonts w:ascii="Times New Roman" w:cs="宋体" w:eastAsia="宋体" w:hAnsi="Times New Roman" w:hint="eastAsia"/>
                <w:kern w:val="0"/>
                <w:sz w:val="18"/>
                <w:szCs w:val="18"/>
              </w:rPr>
              <w:t>等</w:t>
            </w:r>
          </w:p>
        </w:tc>
      </w:tr>
      <w:tr>
        <w:tblPrEx/>
        <w:trPr>
          <w:cantSplit/>
          <w:trHeight w:val="474"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tcBorders/>
            <w:vAlign w:val="center"/>
          </w:tcPr>
          <w:p>
            <w:pPr>
              <w:pStyle w:val="style0"/>
              <w:spacing w:lineRule="exact" w:line="240"/>
              <w:ind w:firstLine="180" w:firstLineChars="100"/>
              <w:rPr>
                <w:rFonts w:ascii="Times New Roman" w:cs="宋体" w:eastAsia="宋体" w:hAnsi="Times New Roman"/>
                <w:sz w:val="18"/>
              </w:rPr>
            </w:pPr>
            <w:r>
              <w:rPr>
                <w:rFonts w:ascii="Times New Roman" w:cs="宋体" w:eastAsia="宋体" w:hAnsi="Times New Roman" w:hint="eastAsia"/>
                <w:sz w:val="18"/>
              </w:rPr>
              <w:t>工匠精神</w:t>
            </w:r>
          </w:p>
        </w:tc>
        <w:tc>
          <w:tcPr>
            <w:tcW w:w="1701" w:type="dxa"/>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敬业、精益、专注等方面的能力</w:t>
            </w:r>
          </w:p>
        </w:tc>
        <w:tc>
          <w:tcPr>
            <w:tcW w:w="5115" w:type="dxa"/>
            <w:tcBorders/>
            <w:vAlign w:val="center"/>
          </w:tcPr>
          <w:p>
            <w:pPr>
              <w:pStyle w:val="style0"/>
              <w:spacing w:lineRule="exact" w:line="240"/>
              <w:jc w:val="left"/>
              <w:rPr>
                <w:rFonts w:ascii="Times New Roman" w:cs="宋体" w:eastAsia="宋体" w:hAnsi="Times New Roman"/>
                <w:sz w:val="18"/>
              </w:rPr>
            </w:pPr>
            <w:r>
              <w:rPr>
                <w:rFonts w:ascii="Times New Roman" w:cs="宋体" w:eastAsia="宋体" w:hAnsi="Times New Roman" w:hint="eastAsia"/>
                <w:bCs/>
                <w:kern w:val="0"/>
                <w:sz w:val="18"/>
                <w:szCs w:val="18"/>
              </w:rPr>
              <w:t>劳动教育、职业生涯规划、</w:t>
            </w:r>
            <w:r>
              <w:rPr>
                <w:rFonts w:ascii="Times New Roman" w:cs="宋体" w:eastAsia="宋体" w:hAnsi="Times New Roman" w:hint="eastAsia"/>
                <w:sz w:val="18"/>
              </w:rPr>
              <w:t>大学生创新创业基础、创新创业实践、公共选修课、技能竞赛节、通用职业能力大赛、学院和系（部）相关活动等</w:t>
            </w:r>
          </w:p>
        </w:tc>
      </w:tr>
      <w:tr>
        <w:tblPrEx/>
        <w:trPr>
          <w:cantSplit/>
          <w:trHeight w:val="474"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tcBorders/>
            <w:vAlign w:val="center"/>
          </w:tcPr>
          <w:p>
            <w:pPr>
              <w:pStyle w:val="style0"/>
              <w:spacing w:lineRule="exact" w:line="240"/>
              <w:ind w:firstLine="180" w:firstLineChars="100"/>
              <w:rPr>
                <w:rFonts w:ascii="Times New Roman" w:cs="宋体" w:eastAsia="宋体" w:hAnsi="Times New Roman"/>
                <w:sz w:val="18"/>
              </w:rPr>
            </w:pPr>
            <w:r>
              <w:rPr>
                <w:rFonts w:ascii="Times New Roman" w:cs="宋体" w:eastAsia="宋体" w:hAnsi="Times New Roman" w:hint="eastAsia"/>
                <w:sz w:val="18"/>
              </w:rPr>
              <w:t>劳动素养</w:t>
            </w:r>
          </w:p>
        </w:tc>
        <w:tc>
          <w:tcPr>
            <w:tcW w:w="1701" w:type="dxa"/>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树立正确的劳动观念，培养热爱劳动、艰苦奋斗的优良品质</w:t>
            </w:r>
          </w:p>
        </w:tc>
        <w:tc>
          <w:tcPr>
            <w:tcW w:w="5115" w:type="dxa"/>
            <w:tcBorders/>
            <w:vAlign w:val="center"/>
          </w:tcPr>
          <w:p>
            <w:pPr>
              <w:pStyle w:val="style0"/>
              <w:spacing w:lineRule="exact" w:line="240"/>
              <w:jc w:val="left"/>
              <w:rPr>
                <w:rFonts w:ascii="Times New Roman" w:cs="宋体" w:eastAsia="宋体" w:hAnsi="Times New Roman"/>
                <w:sz w:val="18"/>
              </w:rPr>
            </w:pPr>
            <w:r>
              <w:rPr>
                <w:rFonts w:ascii="Times New Roman" w:cs="宋体" w:eastAsia="宋体" w:hAnsi="Times New Roman" w:hint="eastAsia"/>
                <w:sz w:val="18"/>
              </w:rPr>
              <w:t>劳动教育、五粮文化育人学思践悟、学院和系（部）相关活动等</w:t>
            </w:r>
          </w:p>
        </w:tc>
      </w:tr>
      <w:tr>
        <w:tblPrEx/>
        <w:trPr>
          <w:cantSplit/>
          <w:trHeight w:val="256" w:hRule="atLeast"/>
          <w:jc w:val="center"/>
        </w:trPr>
        <w:tc>
          <w:tcPr>
            <w:tcW w:w="998" w:type="dxa"/>
            <w:vMerge w:val="restart"/>
            <w:tcBorders/>
            <w:vAlign w:val="center"/>
          </w:tcPr>
          <w:p>
            <w:pPr>
              <w:pStyle w:val="style0"/>
              <w:spacing w:lineRule="exact" w:line="240"/>
              <w:jc w:val="center"/>
              <w:rPr>
                <w:rFonts w:ascii="Times New Roman" w:cs="宋体" w:eastAsia="宋体" w:hAnsi="Times New Roman"/>
                <w:sz w:val="18"/>
              </w:rPr>
            </w:pPr>
            <w:r>
              <w:rPr>
                <w:rFonts w:ascii="Times New Roman" w:cs="宋体" w:eastAsia="宋体" w:hAnsi="Times New Roman" w:hint="eastAsia"/>
                <w:sz w:val="18"/>
              </w:rPr>
              <w:t>专业职业能力和素质</w:t>
            </w:r>
          </w:p>
        </w:tc>
        <w:tc>
          <w:tcPr>
            <w:tcW w:w="1418" w:type="dxa"/>
            <w:tcBorders/>
            <w:vAlign w:val="center"/>
          </w:tcPr>
          <w:p>
            <w:pPr>
              <w:pStyle w:val="style0"/>
              <w:spacing w:lineRule="exact" w:line="240"/>
              <w:jc w:val="center"/>
              <w:rPr>
                <w:rFonts w:ascii="Times New Roman" w:cs="宋体" w:eastAsia="宋体" w:hAnsi="Times New Roman"/>
                <w:sz w:val="18"/>
              </w:rPr>
            </w:pPr>
            <w:r>
              <w:rPr>
                <w:rFonts w:ascii="宋体" w:eastAsia="宋体" w:hAnsi="宋体" w:hint="eastAsia"/>
                <w:sz w:val="18"/>
              </w:rPr>
              <w:t>客服职业能力及职业素质</w:t>
            </w:r>
          </w:p>
        </w:tc>
        <w:tc>
          <w:tcPr>
            <w:tcW w:w="1701" w:type="dxa"/>
            <w:tcBorders/>
            <w:vAlign w:val="center"/>
          </w:tcPr>
          <w:p>
            <w:pPr>
              <w:pStyle w:val="style0"/>
              <w:spacing w:lineRule="exact" w:line="240"/>
              <w:jc w:val="center"/>
              <w:rPr>
                <w:rFonts w:ascii="Times New Roman" w:cs="宋体" w:eastAsia="宋体" w:hAnsi="Times New Roman"/>
                <w:sz w:val="18"/>
              </w:rPr>
            </w:pPr>
            <w:r>
              <w:rPr>
                <w:rFonts w:ascii="宋体" w:eastAsia="宋体" w:hAnsi="宋体" w:hint="eastAsia"/>
                <w:sz w:val="18"/>
              </w:rPr>
              <w:t>与客户沟通能力</w:t>
            </w:r>
          </w:p>
        </w:tc>
        <w:tc>
          <w:tcPr>
            <w:tcW w:w="5115" w:type="dxa"/>
            <w:tcBorders/>
            <w:vAlign w:val="center"/>
          </w:tcPr>
          <w:p>
            <w:pPr>
              <w:pStyle w:val="style0"/>
              <w:spacing w:lineRule="exact" w:line="240"/>
              <w:jc w:val="center"/>
              <w:rPr>
                <w:rFonts w:ascii="Times New Roman" w:cs="宋体" w:eastAsia="宋体" w:hAnsi="Times New Roman"/>
                <w:sz w:val="18"/>
              </w:rPr>
            </w:pPr>
            <w:r>
              <w:rPr>
                <w:rFonts w:ascii="宋体" w:eastAsia="宋体" w:hAnsi="宋体" w:hint="eastAsia"/>
                <w:sz w:val="18"/>
              </w:rPr>
              <w:t>营销心理学、网店客服、电子商务客服、美工实战实训</w:t>
            </w:r>
          </w:p>
        </w:tc>
      </w:tr>
      <w:tr>
        <w:tblPrEx/>
        <w:trPr>
          <w:cantSplit/>
          <w:trHeight w:val="256"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tcBorders/>
            <w:vAlign w:val="center"/>
          </w:tcPr>
          <w:p>
            <w:pPr>
              <w:pStyle w:val="style0"/>
              <w:spacing w:lineRule="exact" w:line="240"/>
              <w:jc w:val="center"/>
              <w:rPr>
                <w:rFonts w:ascii="Times New Roman" w:cs="宋体" w:eastAsia="宋体" w:hAnsi="Times New Roman"/>
                <w:sz w:val="18"/>
              </w:rPr>
            </w:pPr>
            <w:r>
              <w:rPr>
                <w:rFonts w:ascii="宋体" w:eastAsia="宋体" w:hAnsi="宋体" w:hint="eastAsia"/>
                <w:sz w:val="18"/>
              </w:rPr>
              <w:t>美工职业能力及职业素质</w:t>
            </w:r>
          </w:p>
        </w:tc>
        <w:tc>
          <w:tcPr>
            <w:tcW w:w="1701" w:type="dxa"/>
            <w:tcBorders/>
            <w:vAlign w:val="center"/>
          </w:tcPr>
          <w:p>
            <w:pPr>
              <w:pStyle w:val="style0"/>
              <w:spacing w:lineRule="exact" w:line="240"/>
              <w:jc w:val="center"/>
              <w:rPr>
                <w:rFonts w:ascii="Times New Roman" w:cs="宋体" w:eastAsia="宋体" w:hAnsi="Times New Roman"/>
                <w:sz w:val="18"/>
              </w:rPr>
            </w:pPr>
            <w:r>
              <w:rPr>
                <w:rFonts w:ascii="宋体" w:eastAsia="宋体" w:hAnsi="宋体" w:hint="eastAsia"/>
                <w:sz w:val="18"/>
              </w:rPr>
              <w:t>网店美化能力</w:t>
            </w:r>
          </w:p>
        </w:tc>
        <w:tc>
          <w:tcPr>
            <w:tcW w:w="5115" w:type="dxa"/>
            <w:tcBorders/>
            <w:vAlign w:val="center"/>
          </w:tcPr>
          <w:p>
            <w:pPr>
              <w:pStyle w:val="style0"/>
              <w:spacing w:lineRule="exact" w:line="240"/>
              <w:jc w:val="center"/>
              <w:rPr>
                <w:rFonts w:ascii="Times New Roman" w:cs="宋体" w:eastAsia="宋体" w:hAnsi="Times New Roman"/>
                <w:sz w:val="18"/>
              </w:rPr>
            </w:pPr>
            <w:r>
              <w:rPr>
                <w:rFonts w:ascii="宋体" w:eastAsia="宋体" w:hAnsi="宋体" w:hint="eastAsia"/>
                <w:sz w:val="18"/>
              </w:rPr>
              <w:t>视觉营销设计、新媒体推广、网络营销、网页设计与制作、电子商务客服、美工实战实训</w:t>
            </w:r>
          </w:p>
        </w:tc>
      </w:tr>
      <w:tr>
        <w:tblPrEx/>
        <w:trPr>
          <w:cantSplit/>
          <w:trHeight w:val="256" w:hRule="atLeast"/>
          <w:jc w:val="center"/>
        </w:trPr>
        <w:tc>
          <w:tcPr>
            <w:tcW w:w="998" w:type="dxa"/>
            <w:vMerge w:val="continue"/>
            <w:tcBorders/>
            <w:vAlign w:val="center"/>
          </w:tcPr>
          <w:p>
            <w:pPr>
              <w:pStyle w:val="style0"/>
              <w:spacing w:lineRule="exact" w:line="240"/>
              <w:jc w:val="center"/>
              <w:rPr>
                <w:rFonts w:ascii="Times New Roman" w:cs="宋体" w:eastAsia="宋体" w:hAnsi="Times New Roman"/>
                <w:sz w:val="18"/>
              </w:rPr>
            </w:pPr>
          </w:p>
        </w:tc>
        <w:tc>
          <w:tcPr>
            <w:tcW w:w="1418" w:type="dxa"/>
            <w:tcBorders/>
            <w:vAlign w:val="center"/>
          </w:tcPr>
          <w:p>
            <w:pPr>
              <w:pStyle w:val="style0"/>
              <w:spacing w:lineRule="exact" w:line="240"/>
              <w:jc w:val="center"/>
              <w:rPr>
                <w:rFonts w:ascii="Times New Roman" w:cs="宋体" w:eastAsia="宋体" w:hAnsi="Times New Roman"/>
                <w:sz w:val="18"/>
              </w:rPr>
            </w:pPr>
            <w:r>
              <w:rPr>
                <w:rFonts w:ascii="宋体" w:eastAsia="宋体" w:hAnsi="宋体" w:hint="eastAsia"/>
                <w:sz w:val="18"/>
              </w:rPr>
              <w:t>运营职业能力及职业素质</w:t>
            </w:r>
          </w:p>
        </w:tc>
        <w:tc>
          <w:tcPr>
            <w:tcW w:w="1701" w:type="dxa"/>
            <w:tcBorders/>
            <w:vAlign w:val="center"/>
          </w:tcPr>
          <w:p>
            <w:pPr>
              <w:pStyle w:val="style0"/>
              <w:spacing w:lineRule="exact" w:line="240"/>
              <w:jc w:val="center"/>
              <w:rPr>
                <w:rFonts w:ascii="Times New Roman" w:cs="宋体" w:eastAsia="宋体" w:hAnsi="Times New Roman"/>
                <w:sz w:val="18"/>
              </w:rPr>
            </w:pPr>
            <w:r>
              <w:rPr>
                <w:rFonts w:ascii="宋体" w:eastAsia="宋体" w:hAnsi="宋体" w:hint="eastAsia"/>
                <w:sz w:val="18"/>
              </w:rPr>
              <w:t>能利用各种媒体进行推广运营能力</w:t>
            </w:r>
          </w:p>
        </w:tc>
        <w:tc>
          <w:tcPr>
            <w:tcW w:w="5115" w:type="dxa"/>
            <w:tcBorders/>
            <w:vAlign w:val="center"/>
          </w:tcPr>
          <w:p>
            <w:pPr>
              <w:pStyle w:val="style0"/>
              <w:spacing w:lineRule="exact" w:line="240"/>
              <w:jc w:val="center"/>
              <w:rPr>
                <w:rFonts w:ascii="Times New Roman" w:cs="宋体" w:eastAsia="宋体" w:hAnsi="Times New Roman"/>
                <w:sz w:val="18"/>
              </w:rPr>
            </w:pPr>
            <w:r>
              <w:rPr>
                <w:rFonts w:ascii="宋体" w:eastAsia="宋体" w:hAnsi="宋体" w:hint="eastAsia"/>
                <w:sz w:val="18"/>
              </w:rPr>
              <w:t>市场营销、内容营销、网店运营、网店推广、新</w:t>
            </w:r>
            <w:r>
              <w:rPr>
                <w:rFonts w:ascii="宋体" w:eastAsia="宋体" w:hAnsi="宋体"/>
                <w:sz w:val="18"/>
              </w:rPr>
              <w:t>媒体推广</w:t>
            </w:r>
            <w:r>
              <w:rPr>
                <w:rFonts w:ascii="宋体" w:eastAsia="宋体" w:hAnsi="宋体" w:hint="eastAsia"/>
                <w:sz w:val="18"/>
              </w:rPr>
              <w:t>、搜索</w:t>
            </w:r>
            <w:r>
              <w:rPr>
                <w:rFonts w:ascii="宋体" w:eastAsia="宋体" w:hAnsi="宋体"/>
                <w:sz w:val="18"/>
              </w:rPr>
              <w:t>引擎</w:t>
            </w:r>
            <w:r>
              <w:rPr>
                <w:rFonts w:ascii="宋体" w:eastAsia="宋体" w:hAnsi="宋体" w:hint="eastAsia"/>
                <w:sz w:val="18"/>
              </w:rPr>
              <w:t>营销、网络营销、数据可视化、数据化营销、直播运营、网页设计与制作、文案策划与写作、短视频制作</w:t>
            </w:r>
          </w:p>
        </w:tc>
      </w:tr>
    </w:tbl>
    <w:p>
      <w:pPr>
        <w:pStyle w:val="style0"/>
        <w:snapToGrid w:val="false"/>
        <w:spacing w:lineRule="exact" w:line="380"/>
        <w:ind w:firstLine="482" w:firstLineChars="200"/>
        <w:outlineLvl w:val="0"/>
        <w:rPr>
          <w:rFonts w:ascii="Times New Roman" w:eastAsia="宋体" w:hAnsi="Times New Roman"/>
          <w:b/>
          <w:sz w:val="24"/>
        </w:rPr>
      </w:pPr>
      <w:r>
        <w:rPr>
          <w:rFonts w:ascii="Times New Roman" w:eastAsia="宋体" w:hAnsi="Times New Roman" w:hint="eastAsia"/>
          <w:b/>
          <w:sz w:val="24"/>
        </w:rPr>
        <w:t>六</w:t>
      </w:r>
      <w:r>
        <w:rPr>
          <w:rFonts w:ascii="Times New Roman" w:eastAsia="宋体" w:hAnsi="Times New Roman"/>
          <w:b/>
          <w:sz w:val="24"/>
        </w:rPr>
        <w:t>、</w:t>
      </w:r>
      <w:r>
        <w:rPr>
          <w:rFonts w:ascii="Times New Roman" w:eastAsia="宋体" w:hAnsi="Times New Roman" w:hint="eastAsia"/>
          <w:b/>
          <w:sz w:val="24"/>
        </w:rPr>
        <w:t>课程设置及时间安排</w:t>
      </w:r>
    </w:p>
    <w:p>
      <w:pPr>
        <w:pStyle w:val="style0"/>
        <w:numPr>
          <w:ilvl w:val="0"/>
          <w:numId w:val="8"/>
        </w:numPr>
        <w:spacing w:lineRule="exact" w:line="360"/>
        <w:ind w:firstLine="420"/>
        <w:rPr>
          <w:rFonts w:ascii="Times New Roman" w:eastAsia="宋体" w:hAnsi="Times New Roman"/>
        </w:rPr>
      </w:pPr>
      <w:r>
        <w:rPr>
          <w:rFonts w:ascii="Times New Roman" w:eastAsia="宋体" w:hAnsi="Times New Roman" w:hint="eastAsia"/>
        </w:rPr>
        <w:t>通用职业能力素养课程说明</w:t>
      </w:r>
    </w:p>
    <w:p>
      <w:pPr>
        <w:pStyle w:val="style0"/>
        <w:spacing w:lineRule="exact" w:line="380"/>
        <w:ind w:firstLine="420" w:firstLineChars="200"/>
        <w:rPr>
          <w:rFonts w:ascii="Times New Roman" w:cs="宋体" w:eastAsia="宋体" w:hAnsi="Times New Roman"/>
        </w:rPr>
      </w:pPr>
      <w:r>
        <w:rPr>
          <w:rFonts w:ascii="Times New Roman" w:cs="宋体" w:eastAsia="宋体" w:hAnsi="Times New Roman" w:hint="eastAsia"/>
        </w:rPr>
        <w:t>1.军事理论（5307011110）（36学时）</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以国防教育为主线，以军事理论教学为重点，学生主要参与军事理论学习、掌握基本军事理论知识。通过军事理论教学，学生应增强国防观念和国家安全意识，强化爱国主义、集体主义观念，加强组织纪律性，提升学生社会责任与国家认同意识，军事理论以课堂讲授和学生自主在线学习相结合，主要学习中国国防、军事思想、国际战略环境、军事高技术和信息化战争等主要内容，教师应综合运用讲授、启发式、问题讨论、案例分析等方式方法和现代多媒体、互联网等教学手段组织教学。</w:t>
      </w:r>
    </w:p>
    <w:p>
      <w:pPr>
        <w:pStyle w:val="style0"/>
        <w:spacing w:lineRule="exact" w:line="380"/>
        <w:ind w:firstLine="420" w:firstLineChars="200"/>
        <w:rPr>
          <w:rFonts w:ascii="Times New Roman" w:cs="宋体" w:eastAsia="宋体" w:hAnsi="Times New Roman"/>
        </w:rPr>
      </w:pPr>
      <w:r>
        <w:rPr>
          <w:rFonts w:ascii="Times New Roman" w:cs="宋体" w:eastAsia="宋体" w:hAnsi="Times New Roman" w:hint="eastAsia"/>
        </w:rPr>
        <w:t>2.军事训练（5307011140）（112学时）</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军事训练以集中实训、实践教学为主，主要学习纪律条令，训练队列动作、军体拳和内务整理等内容，军训教官综合运用讲授、操作演示、反复练习等方式方法组织训练、参与体验；提高学生的自我学习管理能力，促进自身综合素质的提高，为中国人民解放军训练储备合格后备兵员和培养预备役军官打下坚实基础。</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3.思想道德与法治（</w:t>
      </w:r>
      <w:r>
        <w:rPr>
          <w:rFonts w:ascii="Times New Roman" w:cs="宋体" w:eastAsia="宋体" w:hAnsi="Times New Roman" w:hint="eastAsia"/>
        </w:rPr>
        <w:t>530701</w:t>
      </w:r>
      <w:r>
        <w:rPr>
          <w:rFonts w:ascii="Times New Roman" w:cs="宋体" w:eastAsia="宋体" w:hAnsi="Times New Roman" w:hint="eastAsia"/>
          <w:kern w:val="0"/>
          <w:szCs w:val="21"/>
        </w:rPr>
        <w:t>1141）（48学时）</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是根据中共中央宣传部、教育部印发的《新时代学校思想政治理论课改革创新实施方案》要求开设的必修课程。本课程始终坚持马克思主义指导地位，以中国特色社会主义取得的举世瞩目成就为内容支撑，以中华优秀传统文化、革命文化和社会主义先进文化为力量根基，旨在对大学生进行系统思想教育、道德教育、法治教育，培养学生树立正确的世界观、人生观、价值观、道德观、法治观，努力培养更多让党放心、爱国奉献、担当民族复兴重任的时代新人。通过理论学习和实践体验，帮助学生筑牢理想信念之基，培育和践行社会主义核心价值观，传承中华传统美德，弘扬中国精神，尊重和维护宪法法律权威，提升思想道德素质和法治素养。引导大学生深入思考在以中国式现代化全面推进中华民族伟大复兴的新征程中的责任和担当。</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本课程按照江西省问题式专题化团队式教学改革要求，采用理论讲授、情景体验、实践锻炼多种教学方法，增强教学的鲜活性、吸引力、感染力，提高教学的实效性和针对性。</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4.大学生心理健康教育（</w:t>
      </w:r>
      <w:r>
        <w:rPr>
          <w:rFonts w:ascii="Times New Roman" w:cs="宋体" w:eastAsia="宋体" w:hAnsi="Times New Roman" w:hint="eastAsia"/>
        </w:rPr>
        <w:t>530701</w:t>
      </w:r>
      <w:r>
        <w:rPr>
          <w:rFonts w:ascii="Times New Roman" w:cs="宋体" w:eastAsia="宋体" w:hAnsi="Times New Roman" w:hint="eastAsia"/>
          <w:kern w:val="0"/>
          <w:szCs w:val="21"/>
        </w:rPr>
        <w:t>1142）（32学时）</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是适应大学生自我成长的迫切需要而开设的，旨在使学生掌握心理健康的基本知识，帮助学生认识心理健康与个人成才发展的关系，了解常见的心理问题，掌握心理调节的方法，解决成长过程中遇到的自我认识、学习适应、人际交往、恋爱心理、情绪管理、危机预防等方面的问题。从而提升大学生心理素质，有效预防心理疾病和心理危机，增强心理调适的能力，正确认识自我，悦纳自我，完善自我，发展自我，优化心理素质，增强与人沟通的能力和承受心理挫折的能力，培养学生积极向上的心态、健全的人格和良好的个性品质，帮助学生树立出现心理问题时的求助意识，维护学生的心理健康，促进学生心理素质的提高，促进大学生全面的发展和健康成长。</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本课程采用理论讲授法、启发式教学、讨论式教学与案例教学、心理测试、课堂讨论、心理咨询、观看视频、情景模拟等多种教学方法和手段，提高学生分析问题和解决问题的能力。</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5</w:t>
      </w:r>
      <w:r>
        <w:rPr>
          <w:rFonts w:ascii="Times New Roman" w:cs="宋体" w:eastAsia="宋体" w:hAnsi="Times New Roman" w:hint="eastAsia"/>
          <w:szCs w:val="21"/>
        </w:rPr>
        <w:t>.</w:t>
      </w:r>
      <w:r>
        <w:rPr>
          <w:rFonts w:ascii="Times New Roman" w:cs="宋体" w:eastAsia="宋体" w:hAnsi="Times New Roman" w:hint="eastAsia"/>
          <w:kern w:val="0"/>
          <w:szCs w:val="21"/>
        </w:rPr>
        <w:t>大学生创新创业基础（</w:t>
      </w:r>
      <w:r>
        <w:rPr>
          <w:rFonts w:ascii="Times New Roman" w:cs="宋体" w:eastAsia="宋体" w:hAnsi="Times New Roman" w:hint="eastAsia"/>
        </w:rPr>
        <w:t>530701</w:t>
      </w:r>
      <w:r>
        <w:rPr>
          <w:rFonts w:ascii="Times New Roman" w:cs="宋体" w:eastAsia="宋体" w:hAnsi="Times New Roman" w:hint="eastAsia"/>
          <w:kern w:val="0"/>
          <w:szCs w:val="21"/>
        </w:rPr>
        <w:t>1143）（14学时）</w:t>
      </w:r>
    </w:p>
    <w:p>
      <w:pPr>
        <w:pStyle w:val="style0"/>
        <w:spacing w:lineRule="exact" w:line="380"/>
        <w:ind w:firstLine="420" w:firstLineChars="200"/>
        <w:rPr>
          <w:rFonts w:ascii="Times New Roman" w:cs="宋体" w:eastAsia="宋体" w:hAnsi="Times New Roman"/>
        </w:rPr>
      </w:pPr>
      <w:r>
        <w:rPr>
          <w:rFonts w:ascii="Times New Roman" w:cs="宋体" w:eastAsia="宋体" w:hAnsi="Times New Roman" w:hint="eastAsia"/>
        </w:rPr>
        <w:t>本课程为创新创业教育课程群之的公共必修课，主要学习关于创新创业的基础知识、基本方法、基本政策、基本技能和经典案例等通识内容；重点培养学生的创新性思维、创新精神、创业意识和创新创业能力。通过课程学习，学生应深入理解创新创业的科学内涵与素质要素，及时了解大学生创新创业政策，新企业注册基本流程及要求，积极培养自身的创新精神与创业意识，努力提升创新创业的方法技能，为自己未来职业发展中的创新创业实践奠定良好基础。</w:t>
      </w:r>
      <w:r>
        <w:rPr>
          <w:rFonts w:ascii="Times New Roman" w:cs="宋体" w:eastAsia="宋体" w:hAnsi="Times New Roman" w:hint="eastAsia"/>
          <w:kern w:val="0"/>
          <w:szCs w:val="21"/>
        </w:rPr>
        <w:t>教师应综合运用讲授、启发、任务驱动、问题讨论、综合练习、测试、案例分析等方式方法和现代多媒体、互联网等教学手段组织教学。</w:t>
      </w:r>
    </w:p>
    <w:p>
      <w:pPr>
        <w:pStyle w:val="style0"/>
        <w:spacing w:lineRule="exact" w:line="380"/>
        <w:ind w:firstLine="420"/>
        <w:rPr>
          <w:rFonts w:ascii="Times New Roman" w:cs="宋体" w:eastAsia="宋体" w:hAnsi="Times New Roman"/>
          <w:kern w:val="0"/>
          <w:szCs w:val="21"/>
          <w:u w:val="single"/>
        </w:rPr>
      </w:pPr>
      <w:r>
        <w:rPr>
          <w:rFonts w:ascii="Times New Roman" w:cs="宋体" w:eastAsia="宋体" w:hAnsi="Times New Roman" w:hint="eastAsia"/>
          <w:kern w:val="0"/>
          <w:szCs w:val="21"/>
        </w:rPr>
        <w:t>6.综合英语  （</w:t>
      </w:r>
      <w:r>
        <w:rPr>
          <w:rFonts w:ascii="Times New Roman" w:cs="宋体" w:eastAsia="宋体" w:hAnsi="Times New Roman" w:hint="eastAsia"/>
        </w:rPr>
        <w:t>530701</w:t>
      </w:r>
      <w:r>
        <w:rPr>
          <w:rFonts w:ascii="Times New Roman" w:cs="宋体" w:eastAsia="宋体" w:hAnsi="Times New Roman" w:hint="eastAsia"/>
          <w:kern w:val="0"/>
          <w:szCs w:val="21"/>
        </w:rPr>
        <w:t>1111）  （76学时）</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主要学习职业情境下的综合英语，分2学期完成，重点培养与提升学生的英语听、说、读、写、译项目，互联网在线英语学习与应用等基本技能，突出英语语言基本技能训练和英语交际的语言基础。通过课程学习，学生应掌握常用的职业综合英语基础知识和基本技能，以基本胜任相关涉外交际和职业活动中口语、书面或在线的基础英语学习与应用交流，为今后进一步提升大学生的国际理解和英语应用能力、学业与职业发展奠定良好的基础。本课程分视听说项目和综合项目两部分，教师综合应运用讲授、情景模拟、启发式、任务驱动、问题讨论、练习、测试等方式方法和现代多媒体、互联网等教学手段组织教学。</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7.形势与政策  （</w:t>
      </w:r>
      <w:r>
        <w:rPr>
          <w:rFonts w:ascii="Times New Roman" w:cs="宋体" w:eastAsia="宋体" w:hAnsi="Times New Roman" w:hint="eastAsia"/>
        </w:rPr>
        <w:t>530701</w:t>
      </w:r>
      <w:r>
        <w:rPr>
          <w:rFonts w:ascii="Times New Roman" w:cs="宋体" w:eastAsia="宋体" w:hAnsi="Times New Roman" w:hint="eastAsia"/>
          <w:kern w:val="0"/>
          <w:szCs w:val="21"/>
        </w:rPr>
        <w:t>1150） （32学时）</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是中宣部、教育部规定的高校本专科学生必修的一门思想政治理论课程。通过课程学习，推动习近平新时代中国特色社会主义思想的学习，以及党的理论创新最新成果进教材进课堂进学生头脑，引导大学生正确认识世情和国情，认清我们所处的“时”和“势”，增强机遇意识、忧患意识、责任意识，提升自身运用马克思主义的立场、观点、方法正确分析形势和理解政策的能力，探索科学研判和正确理解形势与政策发展的客观规律，使大学生在改革开放的环境下有坚定的立场、有较强的社会责任和社会认知能力，提高当代大学生投身于国家经济建设事业的自觉性和态度，明确自身的人生定位和奋斗目标。</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本课程按照教学内容专题学习，运用专题讲授、课堂讨论、观看视频、撰写学习报告及现代多媒体教学手段组织教学。</w:t>
      </w:r>
    </w:p>
    <w:p>
      <w:pPr>
        <w:pStyle w:val="style0"/>
        <w:spacing w:lineRule="exact" w:line="360"/>
        <w:ind w:firstLine="420"/>
        <w:rPr>
          <w:rFonts w:ascii="Times New Roman" w:cs="宋体" w:eastAsia="宋体" w:hAnsi="Times New Roman"/>
          <w:kern w:val="0"/>
          <w:szCs w:val="21"/>
        </w:rPr>
      </w:pPr>
      <w:r>
        <w:rPr>
          <w:rFonts w:ascii="Times New Roman" w:cs="宋体" w:eastAsia="宋体" w:hAnsi="Times New Roman" w:hint="eastAsia"/>
          <w:kern w:val="0"/>
          <w:szCs w:val="21"/>
        </w:rPr>
        <w:t>8.大学生安全教育（</w:t>
      </w:r>
      <w:r>
        <w:rPr>
          <w:rFonts w:ascii="Times New Roman" w:cs="宋体" w:eastAsia="宋体" w:hAnsi="Times New Roman" w:hint="eastAsia"/>
        </w:rPr>
        <w:t>530701</w:t>
      </w:r>
      <w:r>
        <w:rPr>
          <w:rFonts w:ascii="Times New Roman" w:cs="宋体" w:eastAsia="宋体" w:hAnsi="Times New Roman" w:hint="eastAsia"/>
          <w:kern w:val="0"/>
          <w:szCs w:val="21"/>
        </w:rPr>
        <w:t>1151）（16学时）</w:t>
      </w:r>
    </w:p>
    <w:p>
      <w:pPr>
        <w:pStyle w:val="style0"/>
        <w:spacing w:lineRule="exact" w:line="360"/>
        <w:ind w:firstLine="420"/>
        <w:rPr>
          <w:rFonts w:ascii="Times New Roman" w:cs="宋体" w:eastAsia="宋体" w:hAnsi="Times New Roman"/>
          <w:kern w:val="0"/>
          <w:szCs w:val="21"/>
        </w:rPr>
      </w:pPr>
      <w:r>
        <w:rPr>
          <w:rFonts w:ascii="Times New Roman" w:cs="宋体" w:eastAsia="宋体" w:hAnsi="Times New Roman" w:hint="eastAsia"/>
          <w:kern w:val="0"/>
          <w:szCs w:val="21"/>
        </w:rPr>
        <w:t>通过本课程教育，使大学生树立起安全第一的意识，树立积极正确的安全观，把安全问题与个人发展和国家需要、社会发展相结合，为构筑平安人生互动付出积极的努力。大学生应当了解安全基本知识，掌握与安全问题相关的法律法规和校纪校规，安全问题所包含的基本内容，安全问题的社会、校园环境；了解安全信息、相关的安全问题分类知识以及安全保障的基本知识。大学生应当掌握安全防范技能、安全信息搜索与安全管理技能。掌握以安全为前提的自我保护技能、沟通技能、问题解决技能等。</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9.体育与健康  （</w:t>
      </w:r>
      <w:r>
        <w:rPr>
          <w:rFonts w:ascii="Times New Roman" w:cs="宋体" w:eastAsia="宋体" w:hAnsi="Times New Roman" w:hint="eastAsia"/>
        </w:rPr>
        <w:t>530701</w:t>
      </w:r>
      <w:r>
        <w:rPr>
          <w:rFonts w:ascii="Times New Roman" w:cs="宋体" w:eastAsia="宋体" w:hAnsi="Times New Roman" w:hint="eastAsia"/>
          <w:kern w:val="0"/>
          <w:szCs w:val="21"/>
        </w:rPr>
        <w:t>1152） （118学时）</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以身体练习为基本手段，以体育与健康知识、运动技能和锻炼方法为主要学习内容，以培育学生体育与健康核心素养、促进身心健康发展为主要目标，帮助其成为德智体美劳全面发展的高素质技能人才，从而对推动职业教育高质量发展，加快建设教育强国、人才强国、体育强国和深入开展健康中国行动产生重要作用。</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课程以立德树人为根本任务，坚持健康第一的教育理念，传授体育与健康知识和锻炼方法；提高运动技能水平，培养运动爱好和专长；发展职业体能和职业心理、社会适应；帮助学生在体育锻炼中享受乐趣，增强体质，健全人格，锤炼意志；引导学生自觉践行社会主义核心价值观，培养学生职业发展所需的综合素质和行动能力。</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10.实用大学语文（</w:t>
      </w:r>
      <w:r>
        <w:rPr>
          <w:rFonts w:ascii="Times New Roman" w:cs="宋体" w:eastAsia="宋体" w:hAnsi="Times New Roman" w:hint="eastAsia"/>
        </w:rPr>
        <w:t>530701</w:t>
      </w:r>
      <w:r>
        <w:rPr>
          <w:rFonts w:ascii="Times New Roman" w:cs="宋体" w:eastAsia="宋体" w:hAnsi="Times New Roman" w:hint="eastAsia"/>
          <w:kern w:val="0"/>
          <w:szCs w:val="21"/>
        </w:rPr>
        <w:t>1113）  （48学时）</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szCs w:val="21"/>
        </w:rPr>
        <w:t>本课程以提升大学生人文素养为主线，以培养和提高其使用母语文字完成阅读鉴赏、应用写作、表达交流等综合能力为重点，主要学习分析经典文学作品、撰写生活和职业情境的应用文、练习社会交往谈话与职业活动的专题表达等知识与技能。通过课程学习，在阅读与理解、表达与交流、传承与创新等语文实践中，进一步培养学生的语言文化素养，提升学生的阅读鉴赏、应用写作、与人交流、专题表达等语言能力，促进学生的专业学习和综合素质提升，为未来的社会生活和职业发展奠定良好的基础。</w:t>
      </w:r>
      <w:r>
        <w:rPr>
          <w:rFonts w:ascii="Times New Roman" w:cs="宋体" w:eastAsia="宋体" w:hAnsi="Times New Roman" w:hint="eastAsia"/>
          <w:kern w:val="0"/>
          <w:szCs w:val="21"/>
        </w:rPr>
        <w:t>教师应综合运用讲授、情景模拟、启发式、任务驱动、问题讨论、练习、测试、案例分析等方式方法和现代多媒体等教学手段组织教学。</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11.信息技术（</w:t>
      </w:r>
      <w:r>
        <w:rPr>
          <w:rFonts w:ascii="Times New Roman" w:cs="宋体" w:eastAsia="宋体" w:hAnsi="Times New Roman" w:hint="eastAsia"/>
        </w:rPr>
        <w:t>530701</w:t>
      </w:r>
      <w:r>
        <w:rPr>
          <w:rFonts w:ascii="Times New Roman" w:cs="宋体" w:eastAsia="宋体" w:hAnsi="Times New Roman" w:hint="eastAsia"/>
          <w:kern w:val="0"/>
          <w:szCs w:val="21"/>
        </w:rPr>
        <w:t>1144）  （60学时）</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 xml:space="preserve">本课程通过深入实际的项目化教学案例，介绍计算机的系统知识、计算机操作系统的基本应用、互联网的常见操作以及常用办公自动化软件的基本应用。通过对课程的学习，学生能够使用常用办公软件较好地完成文档的排版、表格的制作、文档的打印以及数据的分析与处理，并且能够熟练地制作演示文稿，学会合理地利用网络资源进行资料的收集和信息的处理。教师在授课过程中综合运用案例演示法、启发式教学、任务驱动法等方式，结合现代多媒体技术及信息化技术手段组织教学。 </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12.毛泽东思想和中国特色社会主义理论体系概论（</w:t>
      </w:r>
      <w:r>
        <w:rPr>
          <w:rFonts w:ascii="Times New Roman" w:cs="宋体" w:eastAsia="宋体" w:hAnsi="Times New Roman" w:hint="eastAsia"/>
        </w:rPr>
        <w:t>530701</w:t>
      </w:r>
      <w:r>
        <w:rPr>
          <w:rFonts w:ascii="Times New Roman" w:cs="宋体" w:eastAsia="宋体" w:hAnsi="Times New Roman" w:hint="eastAsia"/>
          <w:kern w:val="0"/>
          <w:szCs w:val="21"/>
        </w:rPr>
        <w:t>1145）（32学时）</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本课程是中宣部、教育部规定高校本专科学生必修的一门思想政治理论课程。《毛泽东思想和中国特色社会主义理论体系概论》课程以马克思主义中国化时代化为主线，主要讲授马克思主义中国化时代化理论成果的主要内容、精神实质、历史地位和指导意义，充分反映中国共产党不断推进马克思主义基本原理与中国具体实际相结合、与中华优秀传统文化相结合的历史进程和基本经验；以马克思主义中国化时代化的最新成果为重点，研究党和国家全面推进中国特色社会主义进入新时代的历史进程和战略部署。开设本门课程，是为了使大学生对马克思主义中国化时代化进程中形成的理论成果有更加准确的把握；对中国共产党领导人民进行的革命、建设、改革的历史进程、历史变革、历史成就有更加深刻的认识；对中国共产党在新时代坚持的基本理论、基本路线、基本方略有更加透彻的理解；对运用马克思主义立场、观点和方法认识问题、分析问题和解决问题能力的提升有更加切实的帮助。</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教师应综合运用讲授、情景模拟、实践教学、案例分析、启发式、任务驱动等方式方法和现代多媒体等教学手段组织教学。</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13.红色文化（</w:t>
      </w:r>
      <w:r>
        <w:rPr>
          <w:rFonts w:ascii="Times New Roman" w:cs="宋体" w:eastAsia="宋体" w:hAnsi="Times New Roman" w:hint="eastAsia"/>
        </w:rPr>
        <w:t>530701</w:t>
      </w:r>
      <w:r>
        <w:rPr>
          <w:rFonts w:ascii="Times New Roman" w:cs="宋体" w:eastAsia="宋体" w:hAnsi="Times New Roman" w:hint="eastAsia"/>
          <w:kern w:val="0"/>
          <w:szCs w:val="21"/>
        </w:rPr>
        <w:t>1146）（16学时）</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本课程立足江西丰富的红色文化资源，让学生从红色文化资源中掌握中国共产党波澜壮阔的革命史、艰苦卓绝的奋斗史和可歌可泣的英雄史，真正做到用红色资源立德树人、用红色传统铸魂励志。课程贯彻习近平总书记关于“把红色基因传承下去，确保红色江山后继有人、代代相传”的重要讲话精神，帮助学生树立中国特色社会主义共同理想和共产主义远大理想，培育和弘扬社会主义核心价值观，引导学生做社会主义核心价值观的坚定信仰者、积极传播者、模范践行者，着力提高学生的社会责任能力、社会认知能力，学会客观地、发展地、全面地、系统地和辩证地观察问题、分析问题、解决问题，不断增强用理论指导实践的能力。</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教师应综合运用讲授、情景模拟、实践教学、案例分析、启发式、任务驱动等方式方法和现代多媒体等教学手段组织教学。</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14.职业生涯规划（</w:t>
      </w:r>
      <w:r>
        <w:rPr>
          <w:rFonts w:ascii="Times New Roman" w:cs="宋体" w:eastAsia="宋体" w:hAnsi="Times New Roman" w:hint="eastAsia"/>
        </w:rPr>
        <w:t>530701</w:t>
      </w:r>
      <w:r>
        <w:rPr>
          <w:rFonts w:ascii="Times New Roman" w:cs="宋体" w:eastAsia="宋体" w:hAnsi="Times New Roman" w:hint="eastAsia"/>
          <w:kern w:val="0"/>
          <w:szCs w:val="21"/>
        </w:rPr>
        <w:t>1153）（16学时）</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是高校人才培养工作和毕业生就业工作的重要组成部分，也是高校学生德育教育和思政教育工作的重要载体之一。课程旨在为学生个人职业生涯规划提供理论知识和实践方法指导，既强调职业在人生发展中的重要位置，又重视学生的全面发展和终身发展。课程教学目的在于帮助和引导学生意识到确立自身发展目标的重要性，思考未来理想职业与所学专业关系，逐步确立正确的职业发展目标，掌握职业生涯规划的理论知识和方法论，初步形成构建与自身情况和职业目标相匹配、相适合的职业生涯规划能力。课程任务是引导高职高专大学生树立正确的职业观念和职业理想，学会根据社会需要和自身特点进行职业生涯规划，并以此规范和调整自己的行为，为顺利就业、创业创造积极条件。</w:t>
      </w:r>
    </w:p>
    <w:p>
      <w:pPr>
        <w:pStyle w:val="style0"/>
        <w:spacing w:lineRule="exact" w:line="380"/>
        <w:ind w:firstLine="420"/>
        <w:rPr>
          <w:rFonts w:ascii="Times New Roman" w:cs="宋体" w:eastAsia="宋体" w:hAnsi="Times New Roman"/>
          <w:szCs w:val="21"/>
        </w:rPr>
      </w:pPr>
      <w:r>
        <w:rPr>
          <w:rFonts w:ascii="Times New Roman" w:cs="宋体" w:eastAsia="宋体" w:hAnsi="Times New Roman" w:hint="eastAsia"/>
          <w:szCs w:val="21"/>
        </w:rPr>
        <w:t>15.五粮文化育人学思践悟（</w:t>
      </w:r>
      <w:r>
        <w:rPr>
          <w:rFonts w:ascii="Times New Roman" w:cs="宋体" w:eastAsia="宋体" w:hAnsi="Times New Roman" w:hint="eastAsia"/>
        </w:rPr>
        <w:t>530701</w:t>
      </w:r>
      <w:r>
        <w:rPr>
          <w:rFonts w:ascii="Times New Roman" w:cs="宋体" w:eastAsia="宋体" w:hAnsi="Times New Roman" w:hint="eastAsia"/>
          <w:kern w:val="0"/>
          <w:szCs w:val="21"/>
        </w:rPr>
        <w:t>1154</w:t>
      </w:r>
      <w:r>
        <w:rPr>
          <w:rFonts w:ascii="Times New Roman" w:cs="宋体" w:eastAsia="宋体" w:hAnsi="Times New Roman" w:hint="eastAsia"/>
          <w:szCs w:val="21"/>
        </w:rPr>
        <w:t>）（16学时）</w:t>
      </w:r>
    </w:p>
    <w:p>
      <w:pPr>
        <w:pStyle w:val="style0"/>
        <w:spacing w:lineRule="exact" w:line="38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本课程以历史——理论——实践为顺序，以探寻历史为逻辑起点，以传承中华优秀传统文化为主线，融通社会主义核心价值观，挖掘学校特有的粮食文化核心内涵——五粮文化育人理念，并对五粮文化育人理念进行深入阐释，将其融入育人实践中，让青年学生加强对五粮文化育人理念的认识和理解，推进社会主义核心价值观落实落细，最终实现培育新时代青年的目标。通篇贯彻习近平新时代中国特色社会主义思想，推进习近平新时代中国特色社会主义思想进教材、进课堂、进头脑。该课程通过教师讲授、PPT演示、实践活动等形式开展教学，让学生在学思践悟中认识和理解五粮文化育人理念。</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16.习近平新时代中国特色社会主义思想概论（</w:t>
      </w:r>
      <w:r>
        <w:rPr>
          <w:rFonts w:ascii="Times New Roman" w:cs="宋体" w:eastAsia="宋体" w:hAnsi="Times New Roman" w:hint="eastAsia"/>
        </w:rPr>
        <w:t>530701</w:t>
      </w:r>
      <w:r>
        <w:rPr>
          <w:rFonts w:ascii="Times New Roman" w:cs="宋体" w:eastAsia="宋体" w:hAnsi="Times New Roman" w:hint="eastAsia"/>
          <w:kern w:val="0"/>
          <w:szCs w:val="21"/>
        </w:rPr>
        <w:t>1155）（48学时）</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根据中央宣传部、教育部《关于在高校思想政治理论中进一步加强习近平新时代中国特色社会主义思想政治教育教学工作的通知》要求开设，是系统阐释习近平新时代中国特色社会主义思想科学体系和丰富内涵的关键课程。旨在帮助青年学生深入了解和掌握习近平新时代中国特色社会主义思想，更好把握习近平新时代中国特色社会主义思想的理论精髓和实践要义，坚持用习近平新时代中国特色社会主义思想的立场观点方法指导实践，有助于青年学生掌握党的最新理论创新成果，提升理论素养，把握实践规律。增强青年学生“四个意识”，坚定“四个自信”，做到“两个维护”，厚植爱国主义情怀，把爱国情、强国志、报国行自觉融入坚持和发展中国特色社会主义事业、建设社会主义现代化强国、实现中华民族伟大复兴的奋斗之中。</w:t>
      </w:r>
    </w:p>
    <w:p>
      <w:pPr>
        <w:pStyle w:val="style0"/>
        <w:spacing w:lineRule="exact" w:line="380"/>
        <w:ind w:firstLine="420"/>
        <w:rPr>
          <w:rFonts w:ascii="Times New Roman" w:cs="宋体" w:eastAsia="宋体" w:hAnsi="Times New Roman"/>
          <w:szCs w:val="21"/>
        </w:rPr>
      </w:pPr>
      <w:r>
        <w:rPr>
          <w:rFonts w:ascii="Times New Roman" w:cs="宋体" w:eastAsia="宋体" w:hAnsi="Times New Roman" w:hint="eastAsia"/>
          <w:kern w:val="0"/>
          <w:szCs w:val="21"/>
        </w:rPr>
        <w:t>采用理论讲授法、启发式教学、讨论式教学、视频教学与案例教学等多种教学方法和手段，提高学生分析问题和解决问题的能力；并结合社会实践，做到理论联系实际，提升学习效果。</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szCs w:val="21"/>
        </w:rPr>
        <w:t>17.大学生</w:t>
      </w:r>
      <w:r>
        <w:rPr>
          <w:rFonts w:ascii="Times New Roman" w:cs="宋体" w:eastAsia="宋体" w:hAnsi="Times New Roman" w:hint="eastAsia"/>
          <w:kern w:val="0"/>
          <w:szCs w:val="21"/>
        </w:rPr>
        <w:t>就业指导（</w:t>
      </w:r>
      <w:r>
        <w:rPr>
          <w:rFonts w:ascii="Times New Roman" w:cs="宋体" w:eastAsia="宋体" w:hAnsi="Times New Roman" w:hint="eastAsia"/>
        </w:rPr>
        <w:t>530701</w:t>
      </w:r>
      <w:r>
        <w:rPr>
          <w:rFonts w:ascii="Times New Roman" w:cs="宋体" w:eastAsia="宋体" w:hAnsi="Times New Roman" w:hint="eastAsia"/>
          <w:kern w:val="0"/>
          <w:szCs w:val="21"/>
        </w:rPr>
        <w:t>1156）（32学时）</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rPr>
        <w:t>本课程为主要学习大学生就业形势与政策、就业信息的搜集与处理、求职技巧与应聘准备、就业权益保护、毕业报到等内容。通过课程学习，学生应深刻理解大学生就业形势与政策，树立正确的职业价值观与就业观，熟练掌握职业岗位需求信息搜集与处理、求职应聘的各项准备事项、就业权益保护的基本常识与技能，努力提升自身的基本职业素质，积极做好求职应聘的相关准备，认真完成学业，顺利实现毕业与就业，勇于探索与实践创业。</w:t>
      </w:r>
      <w:r>
        <w:rPr>
          <w:rFonts w:ascii="Times New Roman" w:cs="宋体" w:eastAsia="宋体" w:hAnsi="Times New Roman" w:hint="eastAsia"/>
          <w:kern w:val="0"/>
          <w:szCs w:val="21"/>
        </w:rPr>
        <w:t>教师应综合运用讲授、情景模拟、启发式、任务驱动、问题讨论、综合练习、案例分析等方式方法和现代多媒体、互联网等教学手段组织教学。</w:t>
      </w:r>
    </w:p>
    <w:p>
      <w:pPr>
        <w:pStyle w:val="style0"/>
        <w:spacing w:lineRule="exact" w:line="360"/>
        <w:ind w:firstLine="420"/>
        <w:rPr>
          <w:rFonts w:ascii="Times New Roman" w:cs="宋体" w:eastAsia="宋体" w:hAnsi="Times New Roman"/>
          <w:kern w:val="0"/>
          <w:szCs w:val="21"/>
        </w:rPr>
      </w:pPr>
      <w:r>
        <w:rPr>
          <w:rFonts w:ascii="Times New Roman" w:cs="宋体" w:eastAsia="宋体" w:hAnsi="Times New Roman" w:hint="eastAsia"/>
          <w:kern w:val="0"/>
          <w:szCs w:val="21"/>
        </w:rPr>
        <w:t>18.劳动教育（</w:t>
      </w:r>
      <w:r>
        <w:rPr>
          <w:rFonts w:ascii="Times New Roman" w:cs="宋体" w:eastAsia="宋体" w:hAnsi="Times New Roman" w:hint="eastAsia"/>
        </w:rPr>
        <w:t>530701</w:t>
      </w:r>
      <w:r>
        <w:rPr>
          <w:rFonts w:ascii="Times New Roman" w:cs="宋体" w:eastAsia="宋体" w:hAnsi="Times New Roman" w:hint="eastAsia"/>
          <w:kern w:val="0"/>
          <w:szCs w:val="21"/>
        </w:rPr>
        <w:t>1160）（2学分）</w:t>
      </w:r>
    </w:p>
    <w:p>
      <w:pPr>
        <w:pStyle w:val="style0"/>
        <w:spacing w:lineRule="exact" w:line="380"/>
        <w:ind w:firstLine="420"/>
        <w:rPr>
          <w:rFonts w:ascii="Times New Roman" w:cs="宋体" w:eastAsia="宋体" w:hAnsi="Times New Roman"/>
        </w:rPr>
      </w:pPr>
      <w:r>
        <w:rPr>
          <w:rFonts w:ascii="Times New Roman" w:cs="宋体" w:eastAsia="宋体" w:hAnsi="Times New Roman" w:hint="eastAsia"/>
        </w:rPr>
        <w:t>劳动教育课应准确把握社会主义建设者和接班人的劳动精神面貌、劳动价值取向和劳动技能水平的培养要求，全面提高学生劳动素养，使学生：树立正确的劳动观念。正确理解劳动是人类发展和社会进步的根本力量，认识劳动创造人、劳动创造价值、创造财富、创造美好生活的道理，尊重劳动，尊重普通劳动者，牢固树立劳动最光荣、劳动最崇高、劳动最伟大、劳动最美丽的思想观念。具有必备的劳动能力。掌握基本的劳动知识和技能，正确使用常见劳动工具，增强体力、智力和创造力，具备完成一定劳动任务所需要的设计、操作能力及团队合作能力。培育积极的劳动精神。领会“幸福是奋斗出来的”内涵与意义，继承中华民族勤俭节约、敬业奉献的优良传统，弘扬开拓创新、砥砺奋进的时代精神。养成良好的劳动习惯和品质。能够自觉自愿、认真负责、安全规范、坚持不懈地参与劳动，形成诚实守信、吃苦耐劳的品质。珍惜劳动成果，养成良好的消费习惯，杜绝浪费。</w:t>
      </w:r>
    </w:p>
    <w:p>
      <w:pPr>
        <w:pStyle w:val="style0"/>
        <w:spacing w:lineRule="exact" w:line="360"/>
        <w:ind w:firstLine="420"/>
        <w:rPr>
          <w:rFonts w:ascii="Times New Roman" w:cs="宋体" w:eastAsia="宋体" w:hAnsi="Times New Roman"/>
          <w:kern w:val="0"/>
          <w:szCs w:val="21"/>
        </w:rPr>
      </w:pPr>
      <w:r>
        <w:rPr>
          <w:rFonts w:ascii="Times New Roman" w:cs="宋体" w:eastAsia="宋体" w:hAnsi="Times New Roman" w:hint="eastAsia"/>
          <w:kern w:val="0"/>
          <w:szCs w:val="21"/>
        </w:rPr>
        <w:t>19.大学生健康教育（</w:t>
      </w:r>
      <w:r>
        <w:rPr>
          <w:rFonts w:ascii="Times New Roman" w:cs="宋体" w:eastAsia="宋体" w:hAnsi="Times New Roman" w:hint="eastAsia"/>
        </w:rPr>
        <w:t>530701</w:t>
      </w:r>
      <w:r>
        <w:rPr>
          <w:rFonts w:ascii="Times New Roman" w:cs="宋体" w:eastAsia="宋体" w:hAnsi="Times New Roman" w:hint="eastAsia"/>
          <w:kern w:val="0"/>
          <w:szCs w:val="21"/>
        </w:rPr>
        <w:t>1147）（16学时）</w:t>
      </w:r>
    </w:p>
    <w:p>
      <w:pPr>
        <w:pStyle w:val="style0"/>
        <w:spacing w:lineRule="exact" w:line="360"/>
        <w:ind w:firstLine="420"/>
        <w:rPr>
          <w:rFonts w:ascii="Times New Roman" w:cs="宋体" w:eastAsia="宋体" w:hAnsi="Times New Roman"/>
          <w:kern w:val="0"/>
          <w:szCs w:val="21"/>
        </w:rPr>
      </w:pPr>
      <w:r>
        <w:rPr>
          <w:rFonts w:ascii="Times New Roman" w:cs="宋体" w:eastAsia="宋体" w:hAnsi="Times New Roman" w:hint="eastAsia"/>
          <w:kern w:val="0"/>
          <w:szCs w:val="21"/>
        </w:rPr>
        <w:t>本课程是为提高大学生健康水平而开设的一门全院公共基础课。也是为了适应大学生自我成长的迫切需要而开设的。旨在使学生掌握健康的基本知识，及时给予大学生积极的指导，帮助大学生正确认识自我、完善自我、发展自我、优化素质，提高健康水平，促进全面发展。使学生通过全部教学内容的学习，掌握健康发展特点以及影响因素，获得健康的基本概念和基础知识。初步形成多种视角的健康学观点，掌握一些基本的健康知识，并能将其与日常的学习、工作和生活紧密联系，能有效的自我调节。同时，在教学中通过案例教学，互动活动，培养学生动脑、动手的能力，提高学生的综合素质。</w:t>
      </w:r>
    </w:p>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kern w:val="0"/>
          <w:szCs w:val="21"/>
        </w:rPr>
        <w:t>20.第二课堂学分（创新创业实践）（</w:t>
      </w:r>
      <w:r>
        <w:rPr>
          <w:rFonts w:ascii="Times New Roman" w:cs="宋体" w:eastAsia="宋体" w:hAnsi="Times New Roman" w:hint="eastAsia"/>
        </w:rPr>
        <w:t>530701</w:t>
      </w:r>
      <w:r>
        <w:rPr>
          <w:rFonts w:ascii="Times New Roman" w:cs="宋体" w:eastAsia="宋体" w:hAnsi="Times New Roman" w:hint="eastAsia"/>
          <w:kern w:val="0"/>
          <w:szCs w:val="21"/>
        </w:rPr>
        <w:t>1160）（2学分）</w:t>
      </w:r>
    </w:p>
    <w:p>
      <w:pPr>
        <w:pStyle w:val="style0"/>
        <w:spacing w:lineRule="exact" w:line="360"/>
        <w:ind w:firstLine="420"/>
        <w:rPr>
          <w:rFonts w:ascii="Times New Roman" w:cs="宋体" w:eastAsia="宋体" w:hAnsi="Times New Roman"/>
        </w:rPr>
      </w:pPr>
      <w:r>
        <w:rPr>
          <w:rFonts w:ascii="Times New Roman" w:cs="宋体" w:eastAsia="宋体" w:hAnsi="Times New Roman" w:hint="eastAsia"/>
        </w:rPr>
        <w:t>创新创业实践是指学生在校期间参加的创新创业训练计划项目、创客空间活动、专业创业孵化基地实践、创新创业讲座、专业技能竞赛、技能鉴定考证、发表论文或作品、科学研究、发明创造、学术交流、社会实践等各项创新创业实践活动，经学院认定后计创新创业实践学分。创新创业实践学分是在校生必修学分，每位学生在校学习期间应修满2个创新创业实践学分。第五学期末进行统计，成绩输入教学平台。</w:t>
      </w:r>
      <w:r>
        <w:rPr>
          <w:rFonts w:ascii="Times New Roman" w:cs="宋体" w:eastAsia="宋体" w:hAnsi="Times New Roman" w:hint="eastAsia"/>
          <w:kern w:val="0"/>
          <w:szCs w:val="21"/>
        </w:rPr>
        <w:t>创新创业实践学分具体认定见《江西工业贸易职业技术学院创新创业学分认定及替换办法》。</w:t>
      </w:r>
    </w:p>
    <w:p>
      <w:pPr>
        <w:pStyle w:val="style0"/>
        <w:spacing w:lineRule="exact" w:line="360"/>
        <w:ind w:firstLine="420" w:firstLineChars="200"/>
        <w:rPr>
          <w:rFonts w:ascii="Times New Roman" w:cs="宋体" w:eastAsia="宋体" w:hAnsi="Times New Roman"/>
          <w:kern w:val="0"/>
          <w:szCs w:val="21"/>
        </w:rPr>
      </w:pPr>
      <w:r>
        <w:rPr>
          <w:rFonts w:ascii="Times New Roman" w:cs="宋体" w:eastAsia="宋体" w:hAnsi="Times New Roman" w:hint="eastAsia"/>
          <w:kern w:val="0"/>
          <w:szCs w:val="21"/>
        </w:rPr>
        <w:t>21.第二课堂学分（其他）（</w:t>
      </w:r>
      <w:r>
        <w:rPr>
          <w:rFonts w:ascii="Times New Roman" w:cs="宋体" w:eastAsia="宋体" w:hAnsi="Times New Roman" w:hint="eastAsia"/>
        </w:rPr>
        <w:t>530701</w:t>
      </w:r>
      <w:r>
        <w:rPr>
          <w:rFonts w:ascii="Times New Roman" w:cs="宋体" w:eastAsia="宋体" w:hAnsi="Times New Roman" w:hint="eastAsia"/>
          <w:kern w:val="0"/>
          <w:szCs w:val="21"/>
        </w:rPr>
        <w:t>1162）（2学分）</w:t>
      </w:r>
    </w:p>
    <w:p>
      <w:pPr>
        <w:pStyle w:val="style0"/>
        <w:spacing w:lineRule="exact" w:line="360"/>
        <w:ind w:firstLine="420"/>
        <w:rPr>
          <w:rFonts w:ascii="Times New Roman" w:cs="宋体" w:eastAsia="宋体" w:hAnsi="Times New Roman"/>
          <w:kern w:val="0"/>
          <w:szCs w:val="21"/>
        </w:rPr>
      </w:pPr>
      <w:r>
        <w:rPr>
          <w:rFonts w:ascii="Times New Roman" w:cs="宋体" w:eastAsia="宋体" w:hAnsi="Times New Roman" w:hint="eastAsia"/>
          <w:kern w:val="0"/>
          <w:szCs w:val="21"/>
        </w:rPr>
        <w:t>第二课堂学分是指学生在校期间参加的涉及思想成长、社会实践、志愿公益、创新创业、文体活动、工作履历、技能特长方面的活动，经学院认定后计第二课堂学分。第二课堂学分是在校生必修学分，每位学生在校学习期间应修满2个第二课堂学分。第五学期10月份进行统计，毕业放入学生档案袋。</w:t>
      </w:r>
    </w:p>
    <w:p>
      <w:pPr>
        <w:pStyle w:val="style0"/>
        <w:spacing w:lineRule="exact" w:line="360"/>
        <w:ind w:firstLine="420"/>
        <w:rPr>
          <w:rFonts w:ascii="Times New Roman" w:cs="宋体" w:eastAsia="宋体" w:hAnsi="Times New Roman"/>
          <w:kern w:val="0"/>
          <w:szCs w:val="21"/>
        </w:rPr>
      </w:pPr>
      <w:r>
        <w:rPr>
          <w:rFonts w:ascii="Times New Roman" w:cs="宋体" w:eastAsia="宋体" w:hAnsi="Times New Roman" w:hint="eastAsia"/>
          <w:kern w:val="0"/>
          <w:szCs w:val="21"/>
        </w:rPr>
        <w:t>22.人文素养类课程（9999991550）（30学时）</w:t>
      </w:r>
    </w:p>
    <w:p>
      <w:pPr>
        <w:pStyle w:val="style0"/>
        <w:spacing w:lineRule="exact" w:line="380"/>
        <w:ind w:firstLine="420"/>
        <w:rPr>
          <w:rFonts w:ascii="Times New Roman" w:cs="宋体" w:eastAsia="宋体" w:hAnsi="Times New Roman"/>
        </w:rPr>
      </w:pPr>
      <w:r>
        <w:rPr>
          <w:rFonts w:ascii="Times New Roman" w:cs="宋体" w:eastAsia="宋体" w:hAnsi="Times New Roman" w:hint="eastAsia"/>
        </w:rPr>
        <w:t>本课程为人文素养教育类选修课程，包括限选、公选课程，课程主要任务是培养核提高学生理解人文素质，课程汇集和综合了中外历史、文化、哲学、宗教、文学、艺术、伦理、心理学等多门现代人文知识，帮助学生走进人文殿堂。通过本课程的学习，使学生了解和掌握中外优秀的文化知识，并把知识内化为人文精神，培养高尚的道德情操，树立正确的人生观、价值观，为学好其他课程及学生的终身发展奠定坚实的基础。教师应综合运用讲授、启发、情景模拟、案例分析、任务驱动、问题讨论、实践观摩等方式方法和现代多媒体、互联网等教学手段组织教学。</w:t>
      </w:r>
    </w:p>
    <w:p>
      <w:pPr>
        <w:pStyle w:val="style0"/>
        <w:spacing w:lineRule="exact" w:line="360"/>
        <w:ind w:firstLine="420"/>
        <w:rPr>
          <w:rFonts w:ascii="Times New Roman" w:cs="宋体" w:eastAsia="宋体" w:hAnsi="Times New Roman"/>
          <w:kern w:val="0"/>
          <w:szCs w:val="21"/>
        </w:rPr>
      </w:pPr>
      <w:r>
        <w:rPr>
          <w:rFonts w:ascii="Times New Roman" w:cs="宋体" w:eastAsia="宋体" w:hAnsi="Times New Roman" w:hint="eastAsia"/>
          <w:kern w:val="0"/>
          <w:szCs w:val="21"/>
        </w:rPr>
        <w:t>23.创新创业管理课程（9999991551）（30学时）</w:t>
      </w:r>
    </w:p>
    <w:p>
      <w:pPr>
        <w:pStyle w:val="style0"/>
        <w:spacing w:lineRule="exact" w:line="380"/>
        <w:ind w:firstLine="420"/>
        <w:rPr>
          <w:rFonts w:ascii="Times New Roman" w:cs="宋体" w:eastAsia="宋体" w:hAnsi="Times New Roman"/>
        </w:rPr>
      </w:pPr>
      <w:r>
        <w:rPr>
          <w:rFonts w:ascii="Times New Roman" w:cs="宋体" w:eastAsia="宋体" w:hAnsi="Times New Roman" w:hint="eastAsia"/>
        </w:rPr>
        <w:t>本课程为创新创业教育类选修课程，主要学习关于创新创业的基础知识、基本方法、基本政策、基本技能和经典案例等通识内容；重点培养学生的创新性思维、创新精神、创业意识和创新创业能力。通过课程学习，学生应深入理解创新创业的科学内涵与素质要素，及时了解大学生创新创业政策，创业基本流程及要求，积极培养自身的创新精神与创业意识，努力提升创新创业的方法技能，为自己未来职业发展中的创新创业实践奠定良好基础。教师应综合运用讲授、启发、任务驱动、问题讨论、综合练习、测试、案例分析等方式方法和现代多媒体、互联网等教学手段组织教学。</w:t>
      </w:r>
    </w:p>
    <w:p>
      <w:pPr>
        <w:pStyle w:val="style0"/>
        <w:spacing w:lineRule="exact" w:line="360"/>
        <w:ind w:firstLine="420"/>
        <w:rPr>
          <w:rFonts w:ascii="Times New Roman" w:cs="宋体" w:eastAsia="宋体" w:hAnsi="Times New Roman"/>
          <w:kern w:val="0"/>
          <w:szCs w:val="21"/>
        </w:rPr>
      </w:pPr>
      <w:r>
        <w:rPr>
          <w:rFonts w:ascii="Times New Roman" w:cs="宋体" w:eastAsia="宋体" w:hAnsi="Times New Roman" w:hint="eastAsia"/>
          <w:kern w:val="0"/>
          <w:szCs w:val="21"/>
        </w:rPr>
        <w:t xml:space="preserve">24.科学素养类课程（9999991552）（30学时） </w:t>
      </w:r>
    </w:p>
    <w:p>
      <w:pPr>
        <w:pStyle w:val="style0"/>
        <w:spacing w:lineRule="exact" w:line="380"/>
        <w:ind w:firstLine="420"/>
        <w:rPr>
          <w:rFonts w:ascii="Times New Roman" w:cs="宋体" w:eastAsia="宋体" w:hAnsi="Times New Roman"/>
        </w:rPr>
      </w:pPr>
      <w:r>
        <w:rPr>
          <w:rFonts w:ascii="Times New Roman" w:cs="宋体" w:eastAsia="宋体" w:hAnsi="Times New Roman" w:hint="eastAsia"/>
        </w:rPr>
        <w:t>本课程为科学素养教育课程群包括限选、公选课程。通过本课程学习，使学生系统的了解科学素养基本知识，获得树立问题观念、激发问题意识、培养科学素养等方面的教育，将科学素质教育、科学素养培育与研究性学习、研究性教学有机结合，以问题为切入点，以提高发现问题、分析问题和解决问题的能力为目标，提高大学生走向社会、面向问题时的竞争力；使学生了解和掌握科学知识，培养学生的科学精神、科学意识和用科学方法解决问题的能力。教师应综合运用讲授、启发、情景模拟、案例分析、任务驱动、问题讨论、实践观摩等方式方法和现代多媒体、互联网等教学手段组织教学。</w:t>
      </w:r>
    </w:p>
    <w:p>
      <w:pPr>
        <w:pStyle w:val="style0"/>
        <w:spacing w:lineRule="exact" w:line="360"/>
        <w:ind w:firstLine="420"/>
        <w:rPr>
          <w:rFonts w:ascii="Times New Roman" w:cs="宋体" w:eastAsia="宋体" w:hAnsi="Times New Roman"/>
          <w:szCs w:val="21"/>
        </w:rPr>
      </w:pPr>
      <w:r>
        <w:rPr>
          <w:rFonts w:ascii="Times New Roman" w:cs="宋体" w:eastAsia="宋体" w:hAnsi="Times New Roman" w:hint="eastAsia"/>
          <w:szCs w:val="21"/>
        </w:rPr>
        <w:t>25.信息素养类课程（9999991553）</w:t>
      </w:r>
      <w:r>
        <w:rPr>
          <w:rFonts w:ascii="Times New Roman" w:cs="宋体" w:eastAsia="宋体" w:hAnsi="Times New Roman" w:hint="eastAsia"/>
          <w:kern w:val="0"/>
          <w:szCs w:val="21"/>
        </w:rPr>
        <w:t>（30学时）</w:t>
      </w:r>
    </w:p>
    <w:p>
      <w:pPr>
        <w:pStyle w:val="style0"/>
        <w:spacing w:lineRule="exact" w:line="380"/>
        <w:ind w:firstLine="420"/>
        <w:rPr>
          <w:rFonts w:ascii="Times New Roman" w:cs="宋体" w:eastAsia="宋体" w:hAnsi="Times New Roman"/>
        </w:rPr>
      </w:pPr>
      <w:r>
        <w:rPr>
          <w:rFonts w:ascii="Times New Roman" w:cs="宋体" w:eastAsia="宋体" w:hAnsi="Times New Roman" w:hint="eastAsia"/>
        </w:rPr>
        <w:t>本课程信息素养类选修课程。信息素养是信息时代大学生的基本素养，是个体生存于信息社会的关键能力与必备修养。信息素养继承了信息化时代普通公民信息素养的核心观点和理念，同时还充分结合学生特有的理想信念、道德情操、知识探索、终身学习等要求，以及学习场景的现实需要，已然成为新时代大学生的必备素养。随着信息素养内涵的不断丰富和发展，大学生的信息素养也从最初关注学生的信息技术应用能力，逐步发展到以信息技术应用能力为核心要素的综合素养。</w:t>
      </w:r>
    </w:p>
    <w:p>
      <w:pPr>
        <w:pStyle w:val="style0"/>
        <w:spacing w:lineRule="exact" w:line="360"/>
        <w:ind w:firstLine="420"/>
        <w:rPr>
          <w:rFonts w:ascii="Times New Roman" w:cs="宋体" w:eastAsia="宋体" w:hAnsi="Times New Roman"/>
        </w:rPr>
      </w:pPr>
      <w:r>
        <w:rPr>
          <w:rFonts w:ascii="Times New Roman" w:cs="宋体" w:eastAsia="宋体" w:hAnsi="Times New Roman" w:hint="eastAsia"/>
          <w:kern w:val="0"/>
          <w:szCs w:val="21"/>
        </w:rPr>
        <w:t>26.</w:t>
      </w:r>
      <w:r>
        <w:rPr>
          <w:rFonts w:ascii="Times New Roman" w:cs="宋体" w:eastAsia="宋体" w:hAnsi="Times New Roman" w:hint="eastAsia"/>
          <w:szCs w:val="21"/>
        </w:rPr>
        <w:t>美育类课程（9999991560）（72学时）</w:t>
      </w:r>
    </w:p>
    <w:bookmarkStart w:id="5" w:name="_Hlk74206913"/>
    <w:p>
      <w:pPr>
        <w:pStyle w:val="style0"/>
        <w:spacing w:lineRule="exact" w:line="380"/>
        <w:ind w:firstLine="420"/>
        <w:rPr>
          <w:rFonts w:ascii="Times New Roman" w:cs="宋体" w:eastAsia="宋体" w:hAnsi="Times New Roman"/>
          <w:kern w:val="0"/>
          <w:szCs w:val="21"/>
        </w:rPr>
      </w:pPr>
      <w:r>
        <w:rPr>
          <w:rFonts w:ascii="Times New Roman" w:cs="宋体" w:eastAsia="宋体" w:hAnsi="Times New Roman" w:hint="eastAsia"/>
        </w:rPr>
        <w:t>本课程为美育教育类选修课程，包括限选、公选、学院活动等，课程主要任务是培养学生的审美意识、审美观点，提高学生的审美能力和创造美的能力，从而塑造审美的人生境界，培养和谐完美的人格。美育的最终目的，就在于使学生的情感得到陶冶，思想得到净化，品格得到完善，从而使身心得到和谐发展，精神境界得到升华，自身得到美化</w:t>
      </w:r>
      <w:r>
        <w:rPr>
          <w:rFonts w:ascii="Times New Roman" w:cs="宋体" w:eastAsia="宋体" w:hAnsi="Times New Roman" w:hint="eastAsia"/>
          <w:kern w:val="0"/>
          <w:szCs w:val="21"/>
        </w:rPr>
        <w:t>，教师应综合运用讲授、启发、情景模拟、案例分析、任务驱动、问题讨论、实践观摩等方式方法和现代多媒体、互联网等教学手段组织教学。</w:t>
      </w:r>
      <w:bookmarkEnd w:id="5"/>
    </w:p>
    <w:p>
      <w:pPr>
        <w:pStyle w:val="style0"/>
        <w:spacing w:lineRule="exact" w:line="360"/>
        <w:ind w:firstLine="420" w:firstLineChars="200"/>
        <w:rPr>
          <w:rFonts w:ascii="Times New Roman" w:eastAsia="宋体" w:hAnsi="Times New Roman"/>
        </w:rPr>
      </w:pPr>
      <w:r>
        <w:rPr>
          <w:rFonts w:ascii="Times New Roman" w:eastAsia="宋体" w:hAnsi="Times New Roman" w:hint="eastAsia"/>
        </w:rPr>
        <w:t>（二）专业课程说明</w:t>
      </w:r>
    </w:p>
    <w:p>
      <w:pPr>
        <w:pStyle w:val="style0"/>
        <w:ind w:firstLine="420" w:firstLineChars="200"/>
        <w:rPr>
          <w:rFonts w:ascii="Times New Roman" w:eastAsia="宋体" w:hAnsi="Times New Roman"/>
        </w:rPr>
      </w:pPr>
      <w:r>
        <w:rPr>
          <w:rFonts w:ascii="Times New Roman" w:eastAsia="宋体" w:hAnsi="Times New Roman" w:hint="eastAsia"/>
        </w:rPr>
        <w:t>1.结合专业教学的特色创新创业课程（30~60学时）</w:t>
      </w:r>
    </w:p>
    <w:p>
      <w:pPr>
        <w:pStyle w:val="style0"/>
        <w:ind w:firstLine="420" w:firstLineChars="200"/>
        <w:rPr>
          <w:rFonts w:ascii="Times New Roman" w:eastAsia="宋体" w:hAnsi="Times New Roman"/>
        </w:rPr>
      </w:pPr>
      <w:r>
        <w:rPr>
          <w:rFonts w:ascii="Times New Roman" w:eastAsia="宋体" w:hAnsi="Times New Roman" w:hint="eastAsia"/>
        </w:rPr>
        <w:t>本课程为创新创业教育课程群之专业重点建设课程，坚持工学结合、知行合一，注重专业教育与生产劳动、社会实践、创新创业教育相结合，强化教育教学实践性和职业性，本课程主要学习如何结合或利用专业所学知识和技能进行创新创业，包括基于专业的技术创新、产品创新、品牌创新、服务创新、商业模式创新、管理创新、组织创新、市场创新、渠道创新等基础知识与基本技能。通过课程学习，进一步培养与增强学生的创新精神、创业意识和创新创业能力，促进学生的学以致用、用以促学、学用相长等能力提升。</w:t>
      </w:r>
    </w:p>
    <w:p>
      <w:pPr>
        <w:pStyle w:val="style0"/>
        <w:spacing w:lineRule="exact" w:line="360"/>
        <w:rPr>
          <w:rFonts w:ascii="Times New Roman" w:eastAsia="宋体" w:hAnsi="Times New Roman"/>
        </w:rPr>
      </w:pPr>
      <w:r>
        <w:rPr>
          <w:rFonts w:ascii="Times New Roman" w:eastAsia="宋体" w:hAnsi="Times New Roman" w:hint="eastAsia"/>
        </w:rPr>
        <w:t xml:space="preserve">    2.普通专业课程说明</w:t>
      </w:r>
    </w:p>
    <w:p>
      <w:pPr>
        <w:pStyle w:val="style0"/>
        <w:spacing w:lineRule="exact" w:line="360"/>
        <w:ind w:firstLine="420" w:firstLineChars="200"/>
        <w:rPr>
          <w:rFonts w:ascii="仿宋" w:cs="Cambria Math" w:eastAsia="仿宋" w:hAnsi="仿宋"/>
          <w:szCs w:val="21"/>
        </w:rPr>
      </w:pPr>
      <w:r>
        <w:rPr>
          <w:rFonts w:ascii="仿宋" w:cs="Cambria Math" w:eastAsia="仿宋" w:hAnsi="仿宋" w:hint="eastAsia"/>
          <w:szCs w:val="21"/>
        </w:rPr>
        <w:t>（1）市场营销（5307011213）（56学时）</w:t>
      </w:r>
    </w:p>
    <w:p>
      <w:pPr>
        <w:pStyle w:val="style0"/>
        <w:spacing w:lineRule="exact" w:line="360"/>
        <w:ind w:firstLine="420" w:firstLineChars="200"/>
        <w:rPr>
          <w:rFonts w:ascii="Cambria Math" w:cs="Cambria Math" w:eastAsia="宋体" w:hAnsi="Cambria Math"/>
        </w:rPr>
      </w:pPr>
      <w:r>
        <w:rPr>
          <w:rFonts w:ascii="Cambria Math" w:cs="Cambria Math" w:eastAsia="宋体" w:hAnsi="Cambria Math" w:hint="eastAsia"/>
        </w:rPr>
        <w:t>本课程为电子商务专业的基础课程，主要学习管理学基础、分析市场供求关系、价格机制、研究市场营销内容和含义、研究消费者心理、学习市场调研的方法和技巧等知识。通过课程学习，让学生参与各种市场营销活动的模拟和实践，激发学生的学习兴趣和学习动力。教学过程采用多元化教学方法，利用多媒体、网络等现代教学手段，丰富教学内容和形式，提高教学效果，同时组织学生进行小组讨论、角色扮演等活动，培养学生的团队协作能力和沟通能力。</w:t>
      </w:r>
    </w:p>
    <w:p>
      <w:pPr>
        <w:pStyle w:val="style0"/>
        <w:numPr>
          <w:ilvl w:val="0"/>
          <w:numId w:val="9"/>
        </w:numPr>
        <w:spacing w:lineRule="exact" w:line="360"/>
        <w:ind w:firstLine="420" w:firstLineChars="200"/>
        <w:rPr>
          <w:rFonts w:ascii="仿宋" w:cs="Cambria Math" w:eastAsia="仿宋" w:hAnsi="仿宋"/>
          <w:szCs w:val="21"/>
        </w:rPr>
      </w:pPr>
      <w:r>
        <w:rPr>
          <w:rFonts w:ascii="仿宋" w:cs="Cambria Math" w:eastAsia="仿宋" w:hAnsi="仿宋" w:hint="eastAsia"/>
          <w:szCs w:val="21"/>
        </w:rPr>
        <w:t>内容营销（5307011211）（68学时）</w:t>
      </w:r>
    </w:p>
    <w:p>
      <w:pPr>
        <w:pStyle w:val="style0"/>
        <w:spacing w:lineRule="exact" w:line="360"/>
        <w:ind w:firstLine="420" w:firstLineChars="200"/>
        <w:rPr>
          <w:rFonts w:ascii="宋体" w:cs="宋体" w:eastAsia="宋体" w:hAnsi="Times New Roman"/>
          <w:kern w:val="0"/>
          <w:szCs w:val="21"/>
        </w:rPr>
      </w:pPr>
      <w:r>
        <w:rPr>
          <w:rFonts w:ascii="宋体" w:cs="宋体" w:eastAsia="宋体" w:hAnsi="Times New Roman" w:hint="eastAsia"/>
          <w:kern w:val="0"/>
          <w:szCs w:val="21"/>
        </w:rPr>
        <w:t>本课程主要学习</w:t>
      </w:r>
      <w:r>
        <w:rPr>
          <w:rFonts w:ascii="Cambria Math" w:cs="Cambria Math" w:eastAsia="宋体" w:hAnsi="Cambria Math"/>
        </w:rPr>
        <w:t>内容营销是以内容产出为根本，引发用户关注，从而构筑庞大的粉丝体系，最终带动销售。</w:t>
      </w:r>
      <w:r>
        <w:rPr>
          <w:rFonts w:ascii="Cambria Math" w:cs="Cambria Math" w:eastAsia="宋体" w:hAnsi="Cambria Math" w:hint="eastAsia"/>
        </w:rPr>
        <w:t>课程讲授</w:t>
      </w:r>
      <w:r>
        <w:rPr>
          <w:rFonts w:ascii="Cambria Math" w:cs="Cambria Math" w:eastAsia="宋体" w:hAnsi="Cambria Math"/>
        </w:rPr>
        <w:t>内容营销分类</w:t>
      </w:r>
      <w:r>
        <w:rPr>
          <w:rFonts w:ascii="Cambria Math" w:cs="Cambria Math" w:eastAsia="宋体" w:hAnsi="Cambria Math" w:hint="eastAsia"/>
        </w:rPr>
        <w:t>、</w:t>
      </w:r>
      <w:r>
        <w:rPr>
          <w:rFonts w:ascii="Cambria Math" w:cs="Cambria Math" w:eastAsia="宋体" w:hAnsi="Cambria Math"/>
        </w:rPr>
        <w:t>常见且有效的直播、短视频、图文营销</w:t>
      </w:r>
      <w:r>
        <w:rPr>
          <w:rFonts w:ascii="Cambria Math" w:cs="Cambria Math" w:eastAsia="宋体" w:hAnsi="Cambria Math" w:hint="eastAsia"/>
        </w:rPr>
        <w:t>等知识点</w:t>
      </w:r>
      <w:r>
        <w:rPr>
          <w:rFonts w:ascii="Cambria Math" w:cs="Cambria Math" w:eastAsia="宋体" w:hAnsi="Cambria Math"/>
        </w:rPr>
        <w:t>。通过本书的学习，</w:t>
      </w:r>
      <w:r>
        <w:rPr>
          <w:rFonts w:ascii="Cambria Math" w:cs="Cambria Math" w:eastAsia="宋体" w:hAnsi="Cambria Math" w:hint="eastAsia"/>
        </w:rPr>
        <w:t>同学们</w:t>
      </w:r>
      <w:r>
        <w:rPr>
          <w:rFonts w:ascii="Cambria Math" w:cs="Cambria Math" w:eastAsia="宋体" w:hAnsi="Cambria Math"/>
        </w:rPr>
        <w:t>可以有效地提升内容运营的工作技能，成为具备内容营销专业能力的电商运营者。</w:t>
      </w:r>
    </w:p>
    <w:p>
      <w:pPr>
        <w:pStyle w:val="style0"/>
        <w:spacing w:lineRule="exact" w:line="360"/>
        <w:ind w:firstLine="420" w:firstLineChars="200"/>
        <w:rPr>
          <w:rFonts w:ascii="仿宋" w:cs="Cambria Math" w:eastAsia="宋体" w:hAnsi="仿宋"/>
          <w:szCs w:val="21"/>
        </w:rPr>
      </w:pPr>
      <w:r>
        <w:rPr>
          <w:rFonts w:ascii="宋体" w:cs="Cambria Math" w:eastAsia="宋体" w:hAnsi="宋体" w:hint="eastAsia"/>
        </w:rPr>
        <w:t>本课程是一门理论与实践学习并重的课程，可采用课堂讲授和实训方式相结合，突出实践教学设计及组织，借助于实训室平台，综合运用任务驱动法、案例法、讨论法、情景模拟法等方法以及现代多媒体、教学做一体化等手段实施教学</w:t>
      </w:r>
      <w:r>
        <w:rPr>
          <w:rFonts w:ascii="宋体" w:cs="宋体" w:eastAsia="宋体" w:hAnsi="Times New Roman" w:hint="eastAsia"/>
          <w:kern w:val="0"/>
          <w:szCs w:val="21"/>
        </w:rPr>
        <w:t xml:space="preserve">。 </w:t>
      </w:r>
    </w:p>
    <w:p>
      <w:pPr>
        <w:pStyle w:val="style0"/>
        <w:numPr>
          <w:ilvl w:val="0"/>
          <w:numId w:val="9"/>
        </w:numPr>
        <w:spacing w:lineRule="exact" w:line="360"/>
        <w:ind w:firstLine="420" w:firstLineChars="200"/>
        <w:rPr>
          <w:rFonts w:ascii="仿宋" w:cs="Cambria Math" w:eastAsia="仿宋" w:hAnsi="仿宋"/>
          <w:szCs w:val="21"/>
        </w:rPr>
      </w:pPr>
      <w:r>
        <w:rPr>
          <w:rFonts w:ascii="仿宋" w:cs="Cambria Math" w:eastAsia="仿宋" w:hAnsi="仿宋" w:hint="eastAsia"/>
          <w:szCs w:val="21"/>
        </w:rPr>
        <w:t>数据可视化（5307011223）（60学时）</w:t>
      </w:r>
    </w:p>
    <w:p>
      <w:pPr>
        <w:pStyle w:val="style0"/>
        <w:spacing w:lineRule="exact" w:line="360"/>
        <w:ind w:firstLine="420" w:firstLineChars="200"/>
        <w:rPr>
          <w:rFonts w:ascii="宋体" w:cs="Cambria Math" w:eastAsia="宋体" w:hAnsi="宋体"/>
        </w:rPr>
      </w:pPr>
      <w:r>
        <w:rPr>
          <w:rFonts w:ascii="宋体" w:cs="Cambria Math" w:eastAsia="宋体" w:hAnsi="宋体" w:hint="eastAsia"/>
        </w:rPr>
        <w:t>本课程为电子商务专业的基础课程，主要学习各种数据可视化图表类型的使用场景和制作方法，熟练掌握常用的数据可视化工具，通过数据可视化结果，学习如何解读数据背后的信息，为商务决策提供数据支持。通过数据可视化课程的学习，学生能够掌握数据可视化的基本理论和技能，能够运营数据可视化工具对商务数据进行有效分析和展示。通过学习和实践操作相结合的教学方式，以项目为驱动，让学生分组完成实际的数据可视化任务，提高学生的实际操作能力和解决实际问题的能力。</w:t>
      </w:r>
    </w:p>
    <w:p>
      <w:pPr>
        <w:pStyle w:val="style0"/>
        <w:spacing w:lineRule="exact" w:line="360"/>
        <w:ind w:firstLine="420" w:firstLineChars="200"/>
        <w:rPr>
          <w:rFonts w:ascii="仿宋" w:cs="Cambria Math" w:eastAsia="仿宋" w:hAnsi="仿宋"/>
          <w:szCs w:val="21"/>
        </w:rPr>
      </w:pPr>
      <w:r>
        <w:rPr>
          <w:rFonts w:ascii="仿宋" w:cs="Cambria Math" w:eastAsia="仿宋" w:hAnsi="仿宋" w:hint="eastAsia"/>
          <w:szCs w:val="21"/>
        </w:rPr>
        <w:t>（4）网店运营（C5307011310）（56学时）</w:t>
      </w:r>
    </w:p>
    <w:p>
      <w:pPr>
        <w:pStyle w:val="style0"/>
        <w:spacing w:lineRule="exact" w:line="360"/>
        <w:ind w:firstLine="420" w:firstLineChars="200"/>
        <w:rPr>
          <w:rFonts w:ascii="仿宋" w:cs="Cambria Math" w:eastAsia="宋体" w:hAnsi="仿宋"/>
          <w:szCs w:val="21"/>
        </w:rPr>
      </w:pPr>
      <w:r>
        <w:rPr>
          <w:rFonts w:ascii="宋体" w:cs="Cambria Math" w:eastAsia="宋体" w:hAnsi="宋体" w:hint="eastAsia"/>
        </w:rPr>
        <w:t>本课程以淘系平台为依托，以网店运营为核心，按照网店运营的管理思路，从网店规划、店铺装修、商品上架、引流推广，到客户服务、客户关系管理、物流管理，再到店铺运营数据分析，深入浅出地全面介绍了网店运营的整个流程与关键要素，详细地解答了在网店运营各个环节中可能会遇到的各种问题，有效地帮助学生培养与提升网店运营的能力。在教学方法上采用双线式项目教学，教师在讲解的过程中以自己的网店作为教学载体来介绍网店的策划、建立、管理及运营，学生在实践中采用团队的方式，建立各自的网店。同时教师的真实示范案例教学，有利于提高学生的学习、实践、探索积极性。在教学中，还应用了角色扮演法、博客和建立阿里旺旺群辅助教学、课堂辅导与第二课堂相结合。</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视觉营销设计（N5307011312）（136学时）</w:t>
      </w:r>
    </w:p>
    <w:p>
      <w:pPr>
        <w:pStyle w:val="style0"/>
        <w:spacing w:lineRule="exact" w:line="360"/>
        <w:ind w:firstLine="420" w:firstLineChars="200"/>
        <w:rPr>
          <w:rFonts w:ascii="宋体" w:cs="Cambria Math" w:eastAsia="宋体" w:hAnsi="宋体"/>
        </w:rPr>
      </w:pPr>
      <w:r>
        <w:rPr>
          <w:rFonts w:ascii="宋体" w:cs="Cambria Math" w:eastAsia="宋体" w:hAnsi="宋体" w:hint="eastAsia"/>
        </w:rPr>
        <w:t>本课程主要讲授网店风格设计和布局，对商品实物图拍摄，熟练美化商品图片，能够设计网店对外推广的标识，根据网店活动主题设计促销广告、海报等，能根据网店客服需求设计、制作旺旺头像和表情，能够对网店各种页面效果进行分析和描述、有效性监督和测试、管理和维护。通过课程学习培养学生的工匠精神，学生可以全面了解电商美工岗位相关知识，并利用相关知识完成图片处理、店铺美化、主题设计和网页效果分析等任务，并提升自身的美工岗位素养和能力。教学方法上采用由浅入深、循序渐进的讲述方法，让学生直观、迅速地了解网页美工的主要涉及领域，以学生为主体，加强临摹练习与案例分析，充分调动学生学习的主动性、积极性，努力提高学生艺术素质，加强学习分析问题、解决问题的方法，采用理论与实践相结合的案例结构模式，将平面设计理论知识与网页设计充分结合，注重实践应用能力的培养，加强实践操作技能的培训，增强学生适应变化的能力，在实际教学中适当增加案例分析（案例图片分析讲解），提高学生的鉴赏力。</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短视频制作（5307011323）（60学时）</w:t>
      </w:r>
    </w:p>
    <w:p>
      <w:pPr>
        <w:pStyle w:val="style0"/>
        <w:spacing w:lineRule="exact" w:line="360"/>
        <w:ind w:firstLine="420" w:firstLineChars="200"/>
        <w:rPr>
          <w:rFonts w:ascii="仿宋" w:cs="Cambria Math" w:eastAsia="仿宋" w:hAnsi="仿宋"/>
          <w:szCs w:val="21"/>
        </w:rPr>
      </w:pPr>
      <w:r>
        <w:rPr>
          <w:rFonts w:ascii="宋体" w:cs="Cambria Math" w:eastAsia="宋体" w:hAnsi="宋体" w:hint="eastAsia"/>
        </w:rPr>
        <w:t>本课程为营销类专业的核心课程，主要讲授短视频拍摄前的准备工作、短视频拍摄的相关技能、拍摄短视频、短视频剪辑、使用A</w:t>
      </w:r>
      <w:r>
        <w:rPr>
          <w:rFonts w:ascii="宋体" w:cs="Cambria Math" w:eastAsia="宋体" w:hAnsi="宋体"/>
        </w:rPr>
        <w:t>PP</w:t>
      </w:r>
      <w:r>
        <w:rPr>
          <w:rFonts w:ascii="宋体" w:cs="Cambria Math" w:eastAsia="宋体" w:hAnsi="宋体" w:hint="eastAsia"/>
        </w:rPr>
        <w:t>剪辑短视频以及短视频（产品营销、美食、生活记录、知识技能）的制作等短视频制作知识。通过学习，学生应牢固树立“客户至上”“客户资源为单位最宝贵财富”的服务意识，培养自身良好的职业态度和职业精神，熟悉掌握短视频制作的操作流程和技能。本课程是一门理论与实践学习并重的课程，教师可采用课堂讲授和实训方式相结合，突出实践教学设计及组织，借助于实训室CRM模拟软件，综合运用任务驱动法、案例法、讨论法、情景模拟法等方法以及现代多媒体、教学做一体化等手段实施教学。</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营销心理学（5307011350）（60学时）</w:t>
      </w:r>
    </w:p>
    <w:p>
      <w:pPr>
        <w:pStyle w:val="style0"/>
        <w:spacing w:lineRule="exact" w:line="360"/>
        <w:ind w:firstLine="420" w:firstLineChars="200"/>
        <w:rPr>
          <w:rFonts w:ascii="仿宋" w:cs="Cambria Math" w:eastAsia="仿宋" w:hAnsi="仿宋"/>
          <w:szCs w:val="21"/>
        </w:rPr>
      </w:pPr>
      <w:r>
        <w:rPr>
          <w:rFonts w:ascii="宋体" w:cs="Cambria Math" w:eastAsia="宋体" w:hAnsi="宋体" w:hint="eastAsia"/>
        </w:rPr>
        <w:t>本课程为电子商务专业的核心课程，主要讲授心理学概述、消费者个性、消费者购买行为的心理研究、群体与消费心理、社会文化与消费心理的关系、商品价格心理、商品广告心理、营销者与消费者的心理沟通等知识内容。通过营销心理学课程的学习，要求学生认识到市场交 易行为归根结底是由人的心理活动及其规律决定的，学生能掌握营销过程中的一般的心理现象和心理规律，能用心理学的观点分析、解决市场的问题，并采取相应的营销心理对策，形成营销思想和各种技能，同时对后续专业课程的学习起到辅助作用；同时，通过课程的学习，培养学生学会洞察他人心理，善于换位思考的良好职业品质。在教学过程中，教师应结合教学内容分专题讲授，运用问题导入、专题讲授、心理测试、课堂讨论、心理咨询、观看视频、情景模拟及现代多媒体等教学手段组织教学。</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网店客服（N5307011321）（60学时）</w:t>
      </w:r>
    </w:p>
    <w:p>
      <w:pPr>
        <w:pStyle w:val="style0"/>
        <w:spacing w:lineRule="exact" w:line="360"/>
        <w:ind w:firstLine="420" w:firstLineChars="200"/>
        <w:rPr>
          <w:rFonts w:ascii="宋体" w:cs="Cambria Math" w:eastAsia="宋体" w:hAnsi="宋体"/>
        </w:rPr>
      </w:pPr>
      <w:r>
        <w:rPr>
          <w:rFonts w:ascii="宋体" w:cs="Cambria Math" w:eastAsia="宋体" w:hAnsi="宋体" w:hint="eastAsia"/>
        </w:rPr>
        <w:t>本课程教授内容主要围绕网店客服的工作职责、技能培养、客户关系管理等方面展开，通过课程学习，学生可以全面了解电商客服岗位相关知识，并利用相关知识完成客户接待沟通、订单处理、交易纠纷处理和客户关系管理等任务，并提升自身的客服岗位素养和能力。教学方法应按照实际客服的工作职责进行教学，使学生将能够掌握网店客服的基本知识和技能，为将来的职业发展奠定坚实基础。</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直播运营（5307011354）（90学时）</w:t>
      </w:r>
    </w:p>
    <w:p>
      <w:pPr>
        <w:pStyle w:val="style0"/>
        <w:spacing w:lineRule="exact" w:line="360"/>
        <w:ind w:firstLine="420" w:firstLineChars="200"/>
        <w:rPr>
          <w:rFonts w:ascii="宋体" w:cs="Cambria Math" w:eastAsia="宋体" w:hAnsi="宋体"/>
        </w:rPr>
      </w:pPr>
      <w:r>
        <w:rPr>
          <w:rFonts w:ascii="宋体" w:cs="Cambria Math" w:eastAsia="宋体" w:hAnsi="宋体" w:hint="eastAsia"/>
        </w:rPr>
        <w:t>本课程为电子商务专业的核心课程，主要讲授直播平台的选择与搭建、直播团队组建与运营、粉丝管理、回访及转化率、直播复盘与数据运营、优化直播效果、选品与卖点挖掘等知识内容。通过课程学习，学生可以全面了解直播运营相关知识，并利用相关知识完成直播团队组建、选品、脚本策划、直播控场、商务合作等任务，并提升自身的职业素养、职场能力。教学方法采用双线式项目教学，教师在讲解的过程中以实际的直播平台作为教学载体来介绍直播平台搭建、粉丝管理及直播运营，学生在实践中采用团队的方式，建立各自的直播间。同时教师的真实示范案例教学，有利于提高学生的学习、实践、探索积极性，还应用了角色扮演法、建立群辅助教学、课堂辅导与第二课堂相结合。</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网店推广（N5307011322）（136学时）</w:t>
      </w:r>
    </w:p>
    <w:p>
      <w:pPr>
        <w:pStyle w:val="style0"/>
        <w:spacing w:lineRule="exact" w:line="360"/>
        <w:ind w:firstLine="420" w:firstLineChars="200"/>
        <w:rPr>
          <w:rFonts w:ascii="宋体" w:cs="Cambria Math" w:eastAsia="宋体" w:hAnsi="宋体"/>
        </w:rPr>
      </w:pPr>
      <w:r>
        <w:rPr>
          <w:rFonts w:ascii="宋体" w:cs="Cambria Math" w:eastAsia="宋体" w:hAnsi="宋体" w:hint="eastAsia"/>
        </w:rPr>
        <w:t>本课程为电子商务专业的核心课程，主要讲述打造网店单品爆款、内页文案编写、分销管理、常规硬广、量子统计数据、分析与应用技巧等知识内容。通过对网店推广课程的学习，学生可以全面了解电商运营推广能力，并利用相关知识完成直通车、淘宝客、淘金币、聚划算、淘女郎平台、新品中心、试用中心进行产品促销推广等任务，并提升自身的运营推广素养和能力。教学方法采用以课堂理论教学与实践并重的模式，理论教学运用多媒体教学手段，以理论结合实例讲授；在教学采用案例教学，加强实践性教学，提高学生的实践操作能力；实践是培养学生实际操作能力和设计能力；课程设计采用项目驱动方式，以项目开发为主线，培养学生对整个课程知识的融会贯通能力、培养学生项目开发的能力和解决实际问题的能力。</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新媒体推广（5307011352）（68学时）</w:t>
      </w:r>
    </w:p>
    <w:p>
      <w:pPr>
        <w:pStyle w:val="style0"/>
        <w:spacing w:lineRule="exact" w:line="360"/>
        <w:ind w:firstLine="420" w:firstLineChars="200"/>
        <w:rPr>
          <w:rFonts w:ascii="宋体" w:cs="Cambria Math" w:eastAsia="宋体" w:hAnsi="宋体"/>
        </w:rPr>
      </w:pPr>
      <w:r>
        <w:rPr>
          <w:rFonts w:ascii="宋体" w:cs="Cambria Math" w:eastAsia="宋体" w:hAnsi="宋体" w:hint="eastAsia"/>
        </w:rPr>
        <w:t>本课程为电子商务专业的一门核心课程，课程内容主要教授新媒体营销、自媒体运营等，通过案例分析、项目式教学，学生可以全面提升新媒体的运营能力，并通过各种新媒体的实战任务等，进一步提升自身的新媒体运营岗位素养和能力。课程教学以项目教学法和任务驱动法为主，以电子商务创业班为载体，学习走进微信公众号、新浪微博、头条、一点资讯、搜狐公众、简书、网易媒体、企鹅媒体、百度百家、百度贴吧、UC云观、知乎等平台实战。制定科学、合理的工作计划并组织实施的能力、工作资料查阅与工作文件编制能力和发现问题、分析问题及解决问题能力。配合小组讨论法等其他教学方法，培养学生团队组织与协作能力、良好的人际交往与有效沟通能力、学习、成功意识。</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搜索引擎营销（5307011353）（68学时）</w:t>
      </w:r>
    </w:p>
    <w:p>
      <w:pPr>
        <w:pStyle w:val="style0"/>
        <w:spacing w:lineRule="exact" w:line="360"/>
        <w:ind w:firstLine="420" w:firstLineChars="200"/>
        <w:rPr>
          <w:rFonts w:ascii="宋体" w:cs="Cambria Math" w:eastAsia="宋体" w:hAnsi="宋体"/>
        </w:rPr>
      </w:pPr>
      <w:r>
        <w:rPr>
          <w:rFonts w:ascii="宋体" w:cs="Cambria Math" w:eastAsia="宋体" w:hAnsi="宋体" w:hint="eastAsia"/>
        </w:rPr>
        <w:t>本课程的学习主要以百度搜索推广为案例，进行教学，包括搜索引擎营销基础、百度推广账户结构、关键词、创意、质量都、推广方案写作、效果优化与数据分析等。通过课程学习，学生可以全面了解搜索引擎营销基础、百度搜索推广、账户结构、关键词、创意、质量度、百度搜索推广工具的使用、百度推广客户端、百度网盟推广、着陆页分析、效果优化与数据分析知识点，并提升自身的推广素养和能力。课程教学以项目教学法和任务驱动法为主，以电子商务创业班为载体，学习搜索引擎营销基础、百度搜索推广、账户结构、关键词、创意、质量度、百度搜索推广工具的使用、百度推广客户端、百度网盟推广、着陆页分析、效果优化与数据分析。制定科学、合理的工作计划并组织实施的能力、工作资料查阅与工作文件编制能力和发现问题、分析问题及解决问题能力。配合小组讨论法等其他教学方法，培养学生团队组织与协作能力、良好的人际交往与有效沟通能力、学习、成功意识。</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文案策划与写作（5307011363）（64学时）</w:t>
      </w:r>
    </w:p>
    <w:p>
      <w:pPr>
        <w:pStyle w:val="style0"/>
        <w:spacing w:lineRule="exact" w:line="360"/>
        <w:ind w:firstLine="420" w:firstLineChars="200"/>
        <w:rPr>
          <w:rFonts w:ascii="宋体" w:cs="Cambria Math" w:eastAsia="宋体" w:hAnsi="宋体"/>
        </w:rPr>
      </w:pPr>
      <w:r>
        <w:rPr>
          <w:rFonts w:ascii="宋体" w:cs="Cambria Math" w:eastAsia="宋体" w:hAnsi="宋体" w:hint="eastAsia"/>
        </w:rPr>
        <w:t>本课程为电子商务专业的核心课程，主要讲授电子商务文案撰写、网点内页文案策划与写作、网络推广文案策划与写作、内容电商文案写作与发布等知识。通过课程学习，全方面掌握电子商务环境下文案策划与写作所需的知识和技能，能有效地引导专业学生进行文案策划与写作的学习。课程教学以项目教学法和任务驱动法为主，学生应当对电商文案有基本认识，了解电商文案的基本职责。掌握电子商务文案的标题写作、电子商务文案的正文写作、商品卖点提炼与展现、拟定商品标题、商品详情页文案写作和电商品牌文案写作、微博推广文案写作、微信推广文案写作和资讯类网站推广文案、淘宝内容电商文案写作与发布。配合小组讨论法等其他教学方法，培养学生团队组织与协作能力、良好的人际交往与有效沟通能力、学习、成功意识。</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网络营销（5307011330）（96学时）</w:t>
      </w:r>
    </w:p>
    <w:p>
      <w:pPr>
        <w:pStyle w:val="style0"/>
        <w:spacing w:lineRule="exact" w:line="360"/>
        <w:ind w:firstLine="420" w:firstLineChars="200"/>
        <w:rPr>
          <w:rFonts w:ascii="宋体" w:cs="Cambria Math" w:eastAsia="宋体" w:hAnsi="宋体"/>
        </w:rPr>
      </w:pPr>
      <w:r>
        <w:rPr>
          <w:rFonts w:ascii="宋体" w:cs="Cambria Math" w:eastAsia="宋体" w:hAnsi="宋体" w:hint="eastAsia"/>
        </w:rPr>
        <w:t>本课程主要教授网络营销策划，包括选题、调研、环境分析、战略策划、战术策划、财务预算与组织管理、项目运营等知识点。通过课程学习，学生可以全面了解电商行业网络营销相关知识，并利用相关知识完成网络营销策划、选题、调研、环境分析、战略分析、战术分析、可行性分析等任务，并提升自身的全网营销素养和能力。课程教学以项目教学法和任务驱动法为主，以电子商务创业班为载体，学习认知网络营销策划、网络营销策划选题、网络营销策划调研、网络营销策划环境分析、网络营销战略策划、网络营销战术策划、网络营销策划财务预算与组织管理、网络营销策划可行性分析、网络营销项目运营、团队策划项目PK。制定科学、合理的工作计划并组织实施的能力、工作资料查阅与工作文件编制能力和发现问题、分析问题及解决问题能力。配合小组讨论法等其他教学方法，培养学生团队组织与协作能力、良好的人际交往与有效沟通能力、学习、成功意识。</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数据化营销（N5307011331）（96学时）</w:t>
      </w:r>
    </w:p>
    <w:p>
      <w:pPr>
        <w:pStyle w:val="style0"/>
        <w:spacing w:lineRule="exact" w:line="360"/>
        <w:ind w:firstLine="420" w:firstLineChars="200"/>
        <w:rPr>
          <w:rFonts w:ascii="宋体" w:cs="Cambria Math" w:eastAsia="宋体" w:hAnsi="宋体"/>
        </w:rPr>
      </w:pPr>
      <w:r>
        <w:rPr>
          <w:rFonts w:ascii="宋体" w:cs="Cambria Math" w:eastAsia="宋体" w:hAnsi="宋体" w:hint="eastAsia"/>
        </w:rPr>
        <w:t>本课程为电子商务专业的一门专业核心课程，主要围绕流量分析、成交转化率、处理客单价、建立客户关系管理体系、数据分析部门运营管理、数据化营销等知识点进行教授。通过数据化营销课程的学习，学生可以全面了解电商行业数据分析相关知识，并利用相关知识完成流量来源分析、提高成交转化率、客单价、建立客户关系管理体系等任务，并提升自身的数据分析素养和能力，并应用于店铺日常运营管理。课程教学以项目教学法和任务驱动法为主，以电子商务创业班为载体，学习流量、成交转化率、客单价、数据分析部门运营管理、数据化营销案例。制定科学、合理的工作计划并组织实施的能力、工作资料查阅与工作文件编制能力和发现问题、分析问题及解决问题能力。配合小组讨论法等其他教学方法，培养学生团队组织与协作能力、良好的人际交往与有效沟通能力、学习、成功意识。</w:t>
      </w:r>
    </w:p>
    <w:p>
      <w:pPr>
        <w:pStyle w:val="style0"/>
        <w:numPr>
          <w:ilvl w:val="0"/>
          <w:numId w:val="5"/>
        </w:numPr>
        <w:spacing w:lineRule="exact" w:line="360"/>
        <w:ind w:left="993" w:hanging="573"/>
        <w:rPr>
          <w:rFonts w:ascii="仿宋" w:cs="Cambria Math" w:eastAsia="仿宋" w:hAnsi="仿宋"/>
          <w:szCs w:val="21"/>
        </w:rPr>
      </w:pPr>
      <w:r>
        <w:rPr>
          <w:rFonts w:ascii="仿宋" w:cs="Cambria Math" w:eastAsia="仿宋" w:hAnsi="仿宋" w:hint="eastAsia"/>
          <w:szCs w:val="21"/>
        </w:rPr>
        <w:t>网页设计与制作（5307011362）（64学时）</w:t>
      </w:r>
    </w:p>
    <w:p>
      <w:pPr>
        <w:pStyle w:val="style0"/>
        <w:spacing w:lineRule="exact" w:line="360"/>
        <w:ind w:firstLine="420" w:firstLineChars="200"/>
        <w:rPr>
          <w:rFonts w:ascii="宋体" w:cs="Cambria Math" w:eastAsia="宋体" w:hAnsi="宋体"/>
        </w:rPr>
      </w:pPr>
      <w:r>
        <w:rPr>
          <w:rFonts w:ascii="宋体" w:cs="Cambria Math" w:eastAsia="宋体" w:hAnsi="宋体" w:hint="eastAsia"/>
        </w:rPr>
        <w:t>本课程主要讲授web前端介绍、webstorm的使用、HTML基本结构和基本元素、DTD文档模型及HTML基础元素、HTML框架集与布局、HTML表单提交、DIV+CSS布局、CSS基本样式、基础选择器、选择器优先级、CSS浮动、定位、CSS盒子模型、CSS伸缩盒子模型、CSS动画、CSS3媒体查询和CSS3多列布局等，学习完成后能根据网站PSD图，实现美观大方的页面布局，并符合HTML5和CSS3规范。教师应充分挖掘该课程领域知识点融入社会主义核心价值观、将思想政治教育融入人才培养全过程，塑造具有严谨、精益求精、创新的工匠品质；采用“任务驱动”教学方法，进行“任务引领式”教学，让学生通过执行完整的任务来锻炼综合职业能力，改变教师本位观念，让学生充分发挥主观能动性。各任务的完成通过“案例展示、任务分析、知识讲解、操作示范、课堂模仿、课后实践、问题解析、归纳总结”等步骤进行。在完成任务过程中，有必要鼓励学生学习和借鉴优秀网站特点，鼓励学生掌握更多网页制作辅助工具，进而让学生掌握学习新技术的方法，从而能够紧跟技术发展潮流。</w:t>
      </w:r>
    </w:p>
    <w:p>
      <w:pPr>
        <w:pStyle w:val="style0"/>
        <w:spacing w:lineRule="exact" w:line="360"/>
        <w:ind w:left="420"/>
        <w:rPr>
          <w:rFonts w:ascii="仿宋" w:cs="Cambria Math" w:eastAsia="仿宋" w:hAnsi="仿宋"/>
          <w:szCs w:val="21"/>
        </w:rPr>
      </w:pPr>
      <w:r>
        <w:rPr>
          <w:rFonts w:ascii="仿宋" w:cs="Cambria Math" w:eastAsia="仿宋" w:hAnsi="仿宋" w:hint="eastAsia"/>
          <w:szCs w:val="21"/>
        </w:rPr>
        <w:t>（17）电子商务客服、美工实战实训（5307011450）（48学时）</w:t>
      </w:r>
    </w:p>
    <w:p>
      <w:pPr>
        <w:pStyle w:val="style0"/>
        <w:spacing w:lineRule="exact" w:line="360"/>
        <w:ind w:firstLine="420"/>
        <w:rPr>
          <w:rFonts w:ascii="仿宋" w:cs="Cambria Math" w:eastAsia="仿宋" w:hAnsi="仿宋"/>
          <w:szCs w:val="21"/>
        </w:rPr>
      </w:pPr>
      <w:r>
        <w:rPr>
          <w:rFonts w:ascii="Times New Roman" w:cs="Times New Roman" w:eastAsia="宋体" w:hAnsi="Times New Roman" w:hint="eastAsia"/>
        </w:rPr>
        <w:t>通过电子</w:t>
      </w:r>
      <w:r>
        <w:rPr>
          <w:rFonts w:ascii="Times New Roman" w:cs="Times New Roman" w:eastAsia="宋体" w:hAnsi="Times New Roman"/>
        </w:rPr>
        <w:t>商务实</w:t>
      </w:r>
      <w:r>
        <w:rPr>
          <w:rFonts w:ascii="Times New Roman" w:cs="Times New Roman" w:eastAsia="宋体" w:hAnsi="Times New Roman" w:hint="eastAsia"/>
        </w:rPr>
        <w:t>战</w:t>
      </w:r>
      <w:r>
        <w:rPr>
          <w:rFonts w:ascii="Times New Roman" w:cs="Times New Roman" w:eastAsia="宋体" w:hAnsi="Times New Roman"/>
        </w:rPr>
        <w:t>实训</w:t>
      </w:r>
      <w:r>
        <w:rPr>
          <w:rFonts w:ascii="Times New Roman" w:cs="Times New Roman" w:eastAsia="宋体" w:hAnsi="Times New Roman" w:hint="eastAsia"/>
        </w:rPr>
        <w:t>，参与</w:t>
      </w:r>
      <w:r>
        <w:rPr>
          <w:rFonts w:ascii="Times New Roman" w:cs="Times New Roman" w:eastAsia="宋体" w:hAnsi="Times New Roman"/>
        </w:rPr>
        <w:t>企业的</w:t>
      </w:r>
      <w:r>
        <w:rPr>
          <w:rFonts w:ascii="Times New Roman" w:cs="Times New Roman" w:eastAsia="宋体" w:hAnsi="Times New Roman" w:hint="eastAsia"/>
        </w:rPr>
        <w:t>提供</w:t>
      </w:r>
      <w:r>
        <w:rPr>
          <w:rFonts w:ascii="Times New Roman" w:cs="Times New Roman" w:eastAsia="宋体" w:hAnsi="Times New Roman"/>
        </w:rPr>
        <w:t>的</w:t>
      </w:r>
      <w:r>
        <w:rPr>
          <w:rFonts w:ascii="Times New Roman" w:cs="Times New Roman" w:eastAsia="宋体" w:hAnsi="Times New Roman" w:hint="eastAsia"/>
        </w:rPr>
        <w:t>各</w:t>
      </w:r>
      <w:r>
        <w:rPr>
          <w:rFonts w:ascii="Times New Roman" w:cs="Times New Roman" w:eastAsia="宋体" w:hAnsi="Times New Roman"/>
        </w:rPr>
        <w:t>种真实项目</w:t>
      </w:r>
      <w:r>
        <w:rPr>
          <w:rFonts w:ascii="Times New Roman" w:cs="Times New Roman" w:eastAsia="宋体" w:hAnsi="Times New Roman" w:hint="eastAsia"/>
        </w:rPr>
        <w:t>，</w:t>
      </w:r>
      <w:r>
        <w:rPr>
          <w:rFonts w:ascii="Times New Roman" w:cs="Times New Roman" w:eastAsia="宋体" w:hAnsi="Times New Roman"/>
        </w:rPr>
        <w:t>实践</w:t>
      </w:r>
      <w:r>
        <w:rPr>
          <w:rFonts w:ascii="Times New Roman" w:cs="Times New Roman" w:eastAsia="宋体" w:hAnsi="Times New Roman" w:hint="eastAsia"/>
        </w:rPr>
        <w:t>专业</w:t>
      </w:r>
      <w:r>
        <w:rPr>
          <w:rFonts w:ascii="Times New Roman" w:cs="Times New Roman" w:eastAsia="宋体" w:hAnsi="Times New Roman"/>
        </w:rPr>
        <w:t>所学知识</w:t>
      </w:r>
      <w:r>
        <w:rPr>
          <w:rFonts w:ascii="Times New Roman" w:cs="Times New Roman" w:eastAsia="宋体" w:hAnsi="Times New Roman" w:hint="eastAsia"/>
        </w:rPr>
        <w:t>。实</w:t>
      </w:r>
      <w:r>
        <w:rPr>
          <w:rFonts w:ascii="Times New Roman" w:cs="Times New Roman" w:eastAsia="宋体" w:hAnsi="Times New Roman"/>
        </w:rPr>
        <w:t>训包括</w:t>
      </w:r>
      <w:r>
        <w:rPr>
          <w:rFonts w:ascii="Times New Roman" w:cs="Times New Roman" w:eastAsia="宋体" w:hAnsi="Times New Roman" w:hint="eastAsia"/>
        </w:rPr>
        <w:t>：企业</w:t>
      </w:r>
      <w:r>
        <w:rPr>
          <w:rFonts w:ascii="Times New Roman" w:cs="Times New Roman" w:eastAsia="宋体" w:hAnsi="Times New Roman"/>
        </w:rPr>
        <w:t>培训</w:t>
      </w:r>
      <w:r>
        <w:rPr>
          <w:rFonts w:ascii="Times New Roman" w:cs="Times New Roman" w:eastAsia="宋体" w:hAnsi="Times New Roman" w:hint="eastAsia"/>
        </w:rPr>
        <w:t>（相关</w:t>
      </w:r>
      <w:r>
        <w:rPr>
          <w:rFonts w:ascii="Times New Roman" w:cs="Times New Roman" w:eastAsia="宋体" w:hAnsi="Times New Roman"/>
        </w:rPr>
        <w:t>法规</w:t>
      </w:r>
      <w:r>
        <w:rPr>
          <w:rFonts w:ascii="Times New Roman" w:cs="Times New Roman" w:eastAsia="宋体" w:hAnsi="Times New Roman" w:hint="eastAsia"/>
        </w:rPr>
        <w:t>、产品</w:t>
      </w:r>
      <w:r>
        <w:rPr>
          <w:rFonts w:ascii="Times New Roman" w:cs="Times New Roman" w:eastAsia="宋体" w:hAnsi="Times New Roman"/>
        </w:rPr>
        <w:t>知识</w:t>
      </w:r>
      <w:r>
        <w:rPr>
          <w:rFonts w:ascii="Times New Roman" w:cs="Times New Roman" w:eastAsia="宋体" w:hAnsi="Times New Roman" w:hint="eastAsia"/>
        </w:rPr>
        <w:t>）；网店客服岗位实训内容（接待、通知付款、回访留言、登记好友的信息、登记每天的日记、检查、空闲安排）；网店美工岗位实训内容（商品实物图拍摄与文案的整合、网店的VI设计与印刷、网店各种页面，构建的设计与装修、网店各类活动的气氛营造和文案策划、工作反馈与协助部门完成其它工作）。针对</w:t>
      </w:r>
      <w:r>
        <w:rPr>
          <w:rFonts w:ascii="Times New Roman" w:cs="Times New Roman" w:eastAsia="宋体" w:hAnsi="Times New Roman"/>
        </w:rPr>
        <w:t>各</w:t>
      </w:r>
      <w:r>
        <w:rPr>
          <w:rFonts w:ascii="Times New Roman" w:cs="Times New Roman" w:eastAsia="宋体" w:hAnsi="Times New Roman" w:hint="eastAsia"/>
        </w:rPr>
        <w:t>岗位</w:t>
      </w:r>
      <w:r>
        <w:rPr>
          <w:rFonts w:ascii="Times New Roman" w:cs="Times New Roman" w:eastAsia="宋体" w:hAnsi="Times New Roman"/>
        </w:rPr>
        <w:t>各知识点进行检验与</w:t>
      </w:r>
      <w:r>
        <w:rPr>
          <w:rFonts w:ascii="Times New Roman" w:cs="Times New Roman" w:eastAsia="宋体" w:hAnsi="Times New Roman" w:hint="eastAsia"/>
        </w:rPr>
        <w:t>巩固，最</w:t>
      </w:r>
      <w:r>
        <w:rPr>
          <w:rFonts w:ascii="Times New Roman" w:cs="Times New Roman" w:eastAsia="宋体" w:hAnsi="Times New Roman"/>
        </w:rPr>
        <w:t>终</w:t>
      </w:r>
      <w:r>
        <w:rPr>
          <w:rFonts w:ascii="Times New Roman" w:cs="Times New Roman" w:eastAsia="宋体" w:hAnsi="Times New Roman" w:hint="eastAsia"/>
        </w:rPr>
        <w:t>提升学生</w:t>
      </w:r>
      <w:r>
        <w:rPr>
          <w:rFonts w:ascii="Times New Roman" w:cs="Times New Roman" w:eastAsia="宋体" w:hAnsi="Times New Roman"/>
        </w:rPr>
        <w:t>专业</w:t>
      </w:r>
      <w:r>
        <w:rPr>
          <w:rFonts w:ascii="Times New Roman" w:cs="Times New Roman" w:eastAsia="宋体" w:hAnsi="Times New Roman" w:hint="eastAsia"/>
        </w:rPr>
        <w:t>技能</w:t>
      </w:r>
      <w:r>
        <w:rPr>
          <w:rFonts w:ascii="Times New Roman" w:cs="Times New Roman" w:eastAsia="宋体" w:hAnsi="Times New Roman"/>
        </w:rPr>
        <w:t>运用的综合</w:t>
      </w:r>
      <w:r>
        <w:rPr>
          <w:rFonts w:ascii="Times New Roman" w:cs="Times New Roman" w:eastAsia="宋体" w:hAnsi="Times New Roman" w:hint="eastAsia"/>
        </w:rPr>
        <w:t>水平，为</w:t>
      </w:r>
      <w:r>
        <w:rPr>
          <w:rFonts w:ascii="Times New Roman" w:cs="Times New Roman" w:eastAsia="宋体" w:hAnsi="Times New Roman"/>
        </w:rPr>
        <w:t>将来的</w:t>
      </w:r>
      <w:r>
        <w:rPr>
          <w:rFonts w:ascii="Times New Roman" w:cs="Times New Roman" w:eastAsia="宋体" w:hAnsi="Times New Roman" w:hint="eastAsia"/>
        </w:rPr>
        <w:t>就</w:t>
      </w:r>
      <w:r>
        <w:rPr>
          <w:rFonts w:ascii="Times New Roman" w:cs="Times New Roman" w:eastAsia="宋体" w:hAnsi="Times New Roman"/>
        </w:rPr>
        <w:t>业打下扎实基础</w:t>
      </w:r>
      <w:r>
        <w:rPr>
          <w:rFonts w:ascii="Times New Roman" w:cs="Times New Roman" w:eastAsia="宋体" w:hAnsi="Times New Roman" w:hint="eastAsia"/>
        </w:rPr>
        <w:t>。</w:t>
      </w:r>
    </w:p>
    <w:p>
      <w:pPr>
        <w:pStyle w:val="style0"/>
        <w:spacing w:lineRule="exact" w:line="360"/>
        <w:ind w:firstLine="420" w:firstLineChars="200"/>
        <w:rPr>
          <w:rFonts w:ascii="仿宋" w:cs="Cambria Math" w:eastAsia="仿宋" w:hAnsi="仿宋"/>
          <w:szCs w:val="21"/>
        </w:rPr>
      </w:pPr>
      <w:r>
        <w:rPr>
          <w:rFonts w:ascii="仿宋" w:cs="Cambria Math" w:eastAsia="仿宋" w:hAnsi="仿宋" w:hint="eastAsia"/>
          <w:szCs w:val="21"/>
        </w:rPr>
        <w:t>（18）岗位实习（5307011360）（260学时）</w:t>
      </w:r>
    </w:p>
    <w:p>
      <w:pPr>
        <w:pStyle w:val="style0"/>
        <w:spacing w:lineRule="exact" w:line="360"/>
        <w:ind w:firstLine="420"/>
        <w:rPr>
          <w:rFonts w:ascii="Times New Roman" w:cs="Times New Roman" w:eastAsia="宋体" w:hAnsi="Times New Roman"/>
        </w:rPr>
      </w:pPr>
      <w:r>
        <w:rPr>
          <w:rFonts w:ascii="Times New Roman" w:cs="Times New Roman" w:eastAsia="宋体" w:hAnsi="Times New Roman" w:hint="eastAsia"/>
        </w:rPr>
        <w:t>通过岗位实习，使学生通过基层工作岗位的实践，检验、巩固并加深对专业基础理论和专业知识的理解，提高学生专业实际操作能力，扎实掌握专业技能，提高和强化学生的竞争意识、职业意识和创业意识，转变就业观念，增强就业能力，适应新形势下人才市场对电子商务专业高技能人才的需求，为毕业生顺利就业和在未来就业岗位上更好地发挥作用打下坚实的基础。</w:t>
      </w:r>
    </w:p>
    <w:p>
      <w:pPr>
        <w:pStyle w:val="style0"/>
        <w:spacing w:lineRule="exact" w:line="360"/>
        <w:ind w:firstLine="420"/>
        <w:rPr>
          <w:rFonts w:ascii="仿宋" w:cs="Cambria Math" w:eastAsia="仿宋" w:hAnsi="仿宋"/>
          <w:szCs w:val="21"/>
        </w:rPr>
      </w:pPr>
      <w:r>
        <w:rPr>
          <w:rFonts w:ascii="Times New Roman" w:cs="Times New Roman" w:eastAsia="宋体" w:hAnsi="Times New Roman" w:hint="eastAsia"/>
        </w:rPr>
        <w:t>通过</w:t>
      </w:r>
      <w:r>
        <w:rPr>
          <w:rFonts w:ascii="Times New Roman" w:cs="Times New Roman" w:eastAsia="宋体" w:hAnsi="Times New Roman" w:hint="eastAsia"/>
          <w:lang w:eastAsia="zh-CN"/>
        </w:rPr>
        <w:t>岗位实习</w:t>
      </w:r>
      <w:r>
        <w:rPr>
          <w:rFonts w:ascii="Times New Roman" w:cs="Times New Roman" w:eastAsia="宋体" w:hAnsi="Times New Roman" w:hint="eastAsia"/>
        </w:rPr>
        <w:t>，对学生进行全面的考核评价，使学生进一步拓展专业知识，在完成岗位工作的同时，提高了职业岗位综合工作能力，并获得一定的工作经验，丰富工作经历，使学生在职业素质、社会能力、方法能力、专业能力等方面得到全面提升。</w:t>
      </w:r>
    </w:p>
    <w:p>
      <w:pPr>
        <w:pStyle w:val="style0"/>
        <w:numPr>
          <w:ilvl w:val="0"/>
          <w:numId w:val="10"/>
        </w:numPr>
        <w:spacing w:lineRule="exact" w:line="360"/>
        <w:ind w:firstLine="420" w:firstLineChars="200"/>
        <w:rPr>
          <w:rFonts w:ascii="仿宋" w:cs="Cambria Math" w:eastAsia="仿宋" w:hAnsi="仿宋"/>
          <w:szCs w:val="21"/>
        </w:rPr>
      </w:pPr>
      <w:r>
        <w:rPr>
          <w:rFonts w:ascii="仿宋" w:cs="Cambria Math" w:eastAsia="仿宋" w:hAnsi="仿宋" w:hint="eastAsia"/>
          <w:szCs w:val="21"/>
        </w:rPr>
        <w:t>毕业论文（5307011361）（100学时）</w:t>
      </w:r>
    </w:p>
    <w:p>
      <w:pPr>
        <w:pStyle w:val="style0"/>
        <w:spacing w:lineRule="exact" w:line="360"/>
        <w:ind w:firstLine="420"/>
        <w:rPr>
          <w:rFonts w:ascii="Times New Roman" w:eastAsia="宋体" w:hAnsi="Times New Roman"/>
        </w:rPr>
      </w:pPr>
      <w:r>
        <w:rPr>
          <w:rFonts w:ascii="Times New Roman" w:cs="Times New Roman" w:eastAsia="宋体" w:hAnsi="Times New Roman" w:hint="eastAsia"/>
        </w:rPr>
        <w:t>学生综合运用所学的基础理论和专业知识，在生产第一线接受较全面的实际操作技能训练，接受劳动纪律教育、安全教育、职业道德教育、集体主义教育，使学生毕业后能胜任企业经营及相关管理工作。学生结合</w:t>
      </w:r>
      <w:r>
        <w:rPr>
          <w:rFonts w:ascii="Times New Roman" w:cs="Times New Roman" w:eastAsia="宋体" w:hAnsi="Times New Roman" w:hint="eastAsia"/>
          <w:lang w:eastAsia="zh-CN"/>
        </w:rPr>
        <w:t>岗位实习</w:t>
      </w:r>
      <w:r>
        <w:rPr>
          <w:rFonts w:ascii="Times New Roman" w:cs="Times New Roman" w:eastAsia="宋体" w:hAnsi="Times New Roman" w:hint="eastAsia"/>
        </w:rPr>
        <w:t>撰写本专业的毕业论文，合格者可获得相应的学分。</w:t>
      </w:r>
    </w:p>
    <w:p>
      <w:pPr>
        <w:pStyle w:val="style0"/>
        <w:snapToGrid w:val="false"/>
        <w:spacing w:lineRule="exact" w:line="380"/>
        <w:ind w:firstLine="482" w:firstLineChars="200"/>
        <w:outlineLvl w:val="0"/>
        <w:rPr>
          <w:rFonts w:ascii="Times New Roman" w:eastAsia="宋体" w:hAnsi="Times New Roman"/>
          <w:b/>
          <w:sz w:val="24"/>
        </w:rPr>
      </w:pPr>
      <w:r>
        <w:rPr>
          <w:rFonts w:ascii="Times New Roman" w:eastAsia="宋体" w:hAnsi="Times New Roman" w:hint="eastAsia"/>
          <w:b/>
          <w:sz w:val="24"/>
        </w:rPr>
        <w:t>七、教学进程安排</w:t>
      </w:r>
    </w:p>
    <w:p>
      <w:pPr>
        <w:pStyle w:val="style0"/>
        <w:spacing w:lineRule="exact" w:line="360"/>
        <w:ind w:firstLine="420" w:firstLineChars="200"/>
        <w:rPr>
          <w:rFonts w:ascii="Times New Roman" w:eastAsia="宋体" w:hAnsi="Times New Roman"/>
        </w:rPr>
      </w:pPr>
      <w:r>
        <w:rPr>
          <w:rFonts w:ascii="Times New Roman" w:eastAsia="宋体" w:hAnsi="Times New Roman" w:hint="eastAsia"/>
        </w:rPr>
        <w:t>（一）总时间分配表</w:t>
      </w:r>
    </w:p>
    <w:tbl>
      <w:tblPr>
        <w:tblStyle w:val="style105"/>
        <w:tblW w:w="883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Pr>
      <w:tblGrid>
        <w:gridCol w:w="681"/>
        <w:gridCol w:w="576"/>
        <w:gridCol w:w="488"/>
        <w:gridCol w:w="681"/>
        <w:gridCol w:w="753"/>
        <w:gridCol w:w="1105"/>
        <w:gridCol w:w="681"/>
        <w:gridCol w:w="679"/>
        <w:gridCol w:w="682"/>
        <w:gridCol w:w="893"/>
        <w:gridCol w:w="681"/>
        <w:gridCol w:w="469"/>
        <w:gridCol w:w="465"/>
      </w:tblGrid>
      <w:tr>
        <w:trPr>
          <w:cantSplit/>
          <w:trHeight w:val="20" w:hRule="atLeast"/>
          <w:jc w:val="center"/>
        </w:trPr>
        <w:tc>
          <w:tcPr>
            <w:tcW w:w="681" w:type="dxa"/>
            <w:vMerge w:val="restart"/>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学</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年</w:t>
            </w:r>
          </w:p>
        </w:tc>
        <w:tc>
          <w:tcPr>
            <w:tcW w:w="576" w:type="dxa"/>
            <w:vMerge w:val="restart"/>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学</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期</w:t>
            </w:r>
          </w:p>
        </w:tc>
        <w:tc>
          <w:tcPr>
            <w:tcW w:w="488" w:type="dxa"/>
            <w:vMerge w:val="restart"/>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总</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周</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数</w:t>
            </w:r>
          </w:p>
        </w:tc>
        <w:tc>
          <w:tcPr>
            <w:tcW w:w="1434" w:type="dxa"/>
            <w:gridSpan w:val="2"/>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其  中</w:t>
            </w:r>
          </w:p>
        </w:tc>
        <w:tc>
          <w:tcPr>
            <w:tcW w:w="3147" w:type="dxa"/>
            <w:gridSpan w:val="4"/>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教    学</w:t>
            </w:r>
          </w:p>
        </w:tc>
        <w:tc>
          <w:tcPr>
            <w:tcW w:w="893" w:type="dxa"/>
            <w:vMerge w:val="restart"/>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lang w:val="en-US" w:eastAsia="zh-CN"/>
              </w:rPr>
              <w:t>岗位</w:t>
            </w:r>
            <w:r>
              <w:rPr>
                <w:rFonts w:ascii="Times New Roman" w:eastAsia="宋体" w:hAnsi="Times New Roman" w:hint="eastAsia"/>
                <w:b/>
                <w:sz w:val="18"/>
                <w:szCs w:val="18"/>
              </w:rPr>
              <w:t>实</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习教育</w:t>
            </w:r>
          </w:p>
        </w:tc>
        <w:tc>
          <w:tcPr>
            <w:tcW w:w="681" w:type="dxa"/>
            <w:vMerge w:val="restart"/>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军训</w:t>
            </w:r>
          </w:p>
        </w:tc>
        <w:tc>
          <w:tcPr>
            <w:tcW w:w="469" w:type="dxa"/>
            <w:vMerge w:val="restart"/>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毕</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业</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教</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育</w:t>
            </w:r>
          </w:p>
        </w:tc>
        <w:tc>
          <w:tcPr>
            <w:tcW w:w="465" w:type="dxa"/>
            <w:vMerge w:val="restart"/>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机</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动</w:t>
            </w:r>
          </w:p>
        </w:tc>
      </w:tr>
      <w:tr>
        <w:tblPrEx/>
        <w:trPr>
          <w:cantSplit/>
          <w:trHeight w:val="20" w:hRule="atLeast"/>
          <w:jc w:val="center"/>
        </w:trPr>
        <w:tc>
          <w:tcPr>
            <w:tcW w:w="681" w:type="dxa"/>
            <w:vMerge w:val="continue"/>
            <w:tcBorders/>
            <w:vAlign w:val="center"/>
          </w:tcPr>
          <w:p>
            <w:pPr>
              <w:pStyle w:val="style0"/>
              <w:spacing w:lineRule="exact" w:line="240"/>
              <w:jc w:val="center"/>
              <w:rPr>
                <w:rFonts w:ascii="Times New Roman" w:eastAsia="宋体" w:hAnsi="Times New Roman"/>
                <w:sz w:val="18"/>
                <w:szCs w:val="18"/>
              </w:rPr>
            </w:pPr>
          </w:p>
        </w:tc>
        <w:tc>
          <w:tcPr>
            <w:tcW w:w="576" w:type="dxa"/>
            <w:vMerge w:val="continue"/>
            <w:tcBorders/>
            <w:vAlign w:val="center"/>
          </w:tcPr>
          <w:p>
            <w:pPr>
              <w:pStyle w:val="style0"/>
              <w:spacing w:lineRule="exact" w:line="240"/>
              <w:jc w:val="center"/>
              <w:rPr>
                <w:rFonts w:ascii="Times New Roman" w:eastAsia="宋体" w:hAnsi="Times New Roman"/>
                <w:sz w:val="18"/>
                <w:szCs w:val="18"/>
              </w:rPr>
            </w:pPr>
          </w:p>
        </w:tc>
        <w:tc>
          <w:tcPr>
            <w:tcW w:w="488" w:type="dxa"/>
            <w:vMerge w:val="continue"/>
            <w:tcBorders/>
            <w:vAlign w:val="center"/>
          </w:tcPr>
          <w:p>
            <w:pPr>
              <w:pStyle w:val="style0"/>
              <w:spacing w:lineRule="exact" w:line="240"/>
              <w:jc w:val="center"/>
              <w:rPr>
                <w:rFonts w:ascii="Times New Roman" w:eastAsia="宋体" w:hAnsi="Times New Roman"/>
                <w:sz w:val="18"/>
                <w:szCs w:val="18"/>
              </w:rPr>
            </w:pPr>
          </w:p>
        </w:tc>
        <w:tc>
          <w:tcPr>
            <w:tcW w:w="681" w:type="dxa"/>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学期</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周数</w:t>
            </w:r>
          </w:p>
        </w:tc>
        <w:tc>
          <w:tcPr>
            <w:tcW w:w="753" w:type="dxa"/>
            <w:tcBorders/>
            <w:vAlign w:val="center"/>
          </w:tcPr>
          <w:p>
            <w:pPr>
              <w:pStyle w:val="style4104"/>
              <w:widowControl w:val="false"/>
              <w:pBdr>
                <w:left w:val="none" w:sz="0" w:space="0" w:color="auto"/>
                <w:right w:val="none" w:sz="0" w:space="0" w:color="auto"/>
              </w:pBdr>
              <w:spacing w:before="0" w:beforeAutospacing="false" w:after="0" w:afterAutospacing="false" w:lineRule="exact" w:line="240"/>
              <w:textAlignment w:val="auto"/>
              <w:rPr>
                <w:rFonts w:ascii="Times New Roman" w:eastAsia="宋体" w:hAnsi="Times New Roman"/>
                <w:b/>
                <w:spacing w:val="-20"/>
                <w:kern w:val="2"/>
                <w:sz w:val="18"/>
                <w:szCs w:val="18"/>
              </w:rPr>
            </w:pPr>
            <w:r>
              <w:rPr>
                <w:rFonts w:ascii="Times New Roman" w:eastAsia="宋体" w:hAnsi="Times New Roman" w:hint="eastAsia"/>
                <w:b/>
                <w:spacing w:val="-20"/>
                <w:kern w:val="2"/>
                <w:sz w:val="18"/>
                <w:szCs w:val="18"/>
              </w:rPr>
              <w:t>寒暑假</w:t>
            </w:r>
          </w:p>
        </w:tc>
        <w:tc>
          <w:tcPr>
            <w:tcW w:w="1105" w:type="dxa"/>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课内教学</w:t>
            </w:r>
          </w:p>
        </w:tc>
        <w:tc>
          <w:tcPr>
            <w:tcW w:w="681" w:type="dxa"/>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考试</w:t>
            </w:r>
          </w:p>
        </w:tc>
        <w:tc>
          <w:tcPr>
            <w:tcW w:w="679" w:type="dxa"/>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校内</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实训</w:t>
            </w:r>
          </w:p>
        </w:tc>
        <w:tc>
          <w:tcPr>
            <w:tcW w:w="682" w:type="dxa"/>
            <w:tcBorders/>
            <w:vAlign w:val="center"/>
          </w:tcPr>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校外</w:t>
            </w:r>
          </w:p>
          <w:p>
            <w:pPr>
              <w:pStyle w:val="style0"/>
              <w:spacing w:lineRule="exact" w:line="240"/>
              <w:jc w:val="center"/>
              <w:rPr>
                <w:rFonts w:ascii="Times New Roman" w:eastAsia="宋体" w:hAnsi="Times New Roman"/>
                <w:b/>
                <w:sz w:val="18"/>
                <w:szCs w:val="18"/>
              </w:rPr>
            </w:pPr>
            <w:r>
              <w:rPr>
                <w:rFonts w:ascii="Times New Roman" w:eastAsia="宋体" w:hAnsi="Times New Roman" w:hint="eastAsia"/>
                <w:b/>
                <w:sz w:val="18"/>
                <w:szCs w:val="18"/>
              </w:rPr>
              <w:t>实习</w:t>
            </w:r>
          </w:p>
        </w:tc>
        <w:tc>
          <w:tcPr>
            <w:tcW w:w="893" w:type="dxa"/>
            <w:vMerge w:val="continue"/>
            <w:tcBorders/>
            <w:vAlign w:val="center"/>
          </w:tcPr>
          <w:p>
            <w:pPr>
              <w:pStyle w:val="style0"/>
              <w:spacing w:lineRule="exact" w:line="240"/>
              <w:jc w:val="center"/>
              <w:rPr>
                <w:rFonts w:ascii="Times New Roman" w:eastAsia="宋体" w:hAnsi="Times New Roman"/>
                <w:sz w:val="18"/>
                <w:szCs w:val="18"/>
              </w:rPr>
            </w:pPr>
          </w:p>
        </w:tc>
        <w:tc>
          <w:tcPr>
            <w:tcW w:w="681" w:type="dxa"/>
            <w:vMerge w:val="continue"/>
            <w:tcBorders/>
            <w:vAlign w:val="center"/>
          </w:tcPr>
          <w:p>
            <w:pPr>
              <w:pStyle w:val="style0"/>
              <w:spacing w:lineRule="exact" w:line="240"/>
              <w:jc w:val="center"/>
              <w:rPr>
                <w:rFonts w:ascii="Times New Roman" w:eastAsia="宋体" w:hAnsi="Times New Roman"/>
                <w:sz w:val="18"/>
                <w:szCs w:val="18"/>
              </w:rPr>
            </w:pPr>
          </w:p>
        </w:tc>
        <w:tc>
          <w:tcPr>
            <w:tcW w:w="469" w:type="dxa"/>
            <w:vMerge w:val="continue"/>
            <w:tcBorders/>
            <w:vAlign w:val="center"/>
          </w:tcPr>
          <w:p>
            <w:pPr>
              <w:pStyle w:val="style0"/>
              <w:spacing w:lineRule="exact" w:line="240"/>
              <w:jc w:val="center"/>
              <w:rPr>
                <w:rFonts w:ascii="Times New Roman" w:eastAsia="宋体" w:hAnsi="Times New Roman"/>
                <w:sz w:val="18"/>
                <w:szCs w:val="18"/>
              </w:rPr>
            </w:pPr>
          </w:p>
        </w:tc>
        <w:tc>
          <w:tcPr>
            <w:tcW w:w="465" w:type="dxa"/>
            <w:vMerge w:val="continue"/>
            <w:tcBorders/>
            <w:vAlign w:val="center"/>
          </w:tcPr>
          <w:p>
            <w:pPr>
              <w:pStyle w:val="style0"/>
              <w:spacing w:lineRule="exact" w:line="240"/>
              <w:jc w:val="center"/>
              <w:rPr>
                <w:rFonts w:ascii="Times New Roman" w:eastAsia="宋体" w:hAnsi="Times New Roman"/>
                <w:sz w:val="18"/>
                <w:szCs w:val="18"/>
              </w:rPr>
            </w:pPr>
          </w:p>
        </w:tc>
      </w:tr>
      <w:tr>
        <w:tblPrEx/>
        <w:trPr>
          <w:cantSplit/>
          <w:trHeight w:val="20" w:hRule="atLeast"/>
          <w:jc w:val="center"/>
        </w:trPr>
        <w:tc>
          <w:tcPr>
            <w:tcW w:w="681" w:type="dxa"/>
            <w:vMerge w:val="restart"/>
            <w:tcBorders/>
            <w:vAlign w:val="center"/>
          </w:tcPr>
          <w:p>
            <w:pPr>
              <w:pStyle w:val="style0"/>
              <w:spacing w:lineRule="exact" w:line="240"/>
              <w:jc w:val="center"/>
              <w:rPr>
                <w:rFonts w:ascii="Times New Roman" w:eastAsia="宋体" w:hAnsi="Times New Roman"/>
                <w:sz w:val="18"/>
                <w:szCs w:val="18"/>
              </w:rPr>
            </w:pPr>
          </w:p>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一</w:t>
            </w:r>
          </w:p>
        </w:tc>
        <w:tc>
          <w:tcPr>
            <w:tcW w:w="576"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Ⅰ</w:t>
            </w:r>
          </w:p>
        </w:tc>
        <w:tc>
          <w:tcPr>
            <w:tcW w:w="488" w:type="dxa"/>
            <w:vMerge w:val="restart"/>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52</w:t>
            </w: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sz w:val="18"/>
                <w:szCs w:val="18"/>
              </w:rPr>
              <w:t>20</w:t>
            </w:r>
          </w:p>
        </w:tc>
        <w:tc>
          <w:tcPr>
            <w:tcW w:w="753"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4</w:t>
            </w:r>
          </w:p>
        </w:tc>
        <w:tc>
          <w:tcPr>
            <w:tcW w:w="1105"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sz w:val="18"/>
                <w:szCs w:val="18"/>
              </w:rPr>
              <w:t>14</w:t>
            </w: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2</w:t>
            </w:r>
          </w:p>
        </w:tc>
        <w:tc>
          <w:tcPr>
            <w:tcW w:w="679" w:type="dxa"/>
            <w:tcBorders/>
            <w:vAlign w:val="center"/>
          </w:tcPr>
          <w:p>
            <w:pPr>
              <w:pStyle w:val="style0"/>
              <w:spacing w:lineRule="exact" w:line="240"/>
              <w:jc w:val="center"/>
              <w:rPr>
                <w:rFonts w:ascii="Times New Roman" w:eastAsia="宋体" w:hAnsi="Times New Roman"/>
                <w:sz w:val="18"/>
                <w:szCs w:val="18"/>
              </w:rPr>
            </w:pPr>
          </w:p>
        </w:tc>
        <w:tc>
          <w:tcPr>
            <w:tcW w:w="682" w:type="dxa"/>
            <w:tcBorders/>
            <w:vAlign w:val="center"/>
          </w:tcPr>
          <w:p>
            <w:pPr>
              <w:pStyle w:val="style0"/>
              <w:spacing w:lineRule="exact" w:line="240"/>
              <w:jc w:val="center"/>
              <w:rPr>
                <w:rFonts w:ascii="Times New Roman" w:eastAsia="宋体" w:hAnsi="Times New Roman"/>
                <w:sz w:val="18"/>
                <w:szCs w:val="18"/>
              </w:rPr>
            </w:pPr>
          </w:p>
        </w:tc>
        <w:tc>
          <w:tcPr>
            <w:tcW w:w="893" w:type="dxa"/>
            <w:tcBorders/>
            <w:vAlign w:val="center"/>
          </w:tcPr>
          <w:p>
            <w:pPr>
              <w:pStyle w:val="style0"/>
              <w:spacing w:lineRule="exact" w:line="240"/>
              <w:jc w:val="center"/>
              <w:rPr>
                <w:rFonts w:ascii="Times New Roman" w:eastAsia="宋体" w:hAnsi="Times New Roman"/>
                <w:sz w:val="18"/>
                <w:szCs w:val="18"/>
              </w:rPr>
            </w:pP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2</w:t>
            </w:r>
          </w:p>
        </w:tc>
        <w:tc>
          <w:tcPr>
            <w:tcW w:w="469" w:type="dxa"/>
            <w:tcBorders/>
            <w:vAlign w:val="center"/>
          </w:tcPr>
          <w:p>
            <w:pPr>
              <w:pStyle w:val="style0"/>
              <w:spacing w:lineRule="exact" w:line="240"/>
              <w:jc w:val="center"/>
              <w:rPr>
                <w:rFonts w:ascii="Times New Roman" w:eastAsia="宋体" w:hAnsi="Times New Roman"/>
                <w:sz w:val="18"/>
                <w:szCs w:val="18"/>
              </w:rPr>
            </w:pPr>
          </w:p>
        </w:tc>
        <w:tc>
          <w:tcPr>
            <w:tcW w:w="465"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sz w:val="18"/>
                <w:szCs w:val="18"/>
              </w:rPr>
              <w:t>2</w:t>
            </w:r>
          </w:p>
        </w:tc>
      </w:tr>
      <w:tr>
        <w:tblPrEx/>
        <w:trPr>
          <w:cantSplit/>
          <w:trHeight w:val="20" w:hRule="atLeast"/>
          <w:jc w:val="center"/>
        </w:trPr>
        <w:tc>
          <w:tcPr>
            <w:tcW w:w="681" w:type="dxa"/>
            <w:vMerge w:val="continue"/>
            <w:tcBorders/>
            <w:vAlign w:val="center"/>
          </w:tcPr>
          <w:p>
            <w:pPr>
              <w:pStyle w:val="style0"/>
              <w:spacing w:lineRule="exact" w:line="240"/>
              <w:jc w:val="center"/>
              <w:rPr>
                <w:rFonts w:ascii="Times New Roman" w:eastAsia="宋体" w:hAnsi="Times New Roman"/>
                <w:sz w:val="18"/>
                <w:szCs w:val="18"/>
              </w:rPr>
            </w:pPr>
          </w:p>
        </w:tc>
        <w:tc>
          <w:tcPr>
            <w:tcW w:w="576"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Ⅱ</w:t>
            </w:r>
          </w:p>
        </w:tc>
        <w:tc>
          <w:tcPr>
            <w:tcW w:w="488" w:type="dxa"/>
            <w:vMerge w:val="continue"/>
            <w:tcBorders/>
            <w:vAlign w:val="center"/>
          </w:tcPr>
          <w:p>
            <w:pPr>
              <w:pStyle w:val="style0"/>
              <w:spacing w:lineRule="exact" w:line="240"/>
              <w:jc w:val="center"/>
              <w:rPr>
                <w:rFonts w:ascii="Times New Roman" w:eastAsia="宋体" w:hAnsi="Times New Roman"/>
                <w:sz w:val="18"/>
                <w:szCs w:val="18"/>
              </w:rPr>
            </w:pP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20</w:t>
            </w:r>
          </w:p>
        </w:tc>
        <w:tc>
          <w:tcPr>
            <w:tcW w:w="753"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8</w:t>
            </w:r>
          </w:p>
        </w:tc>
        <w:tc>
          <w:tcPr>
            <w:tcW w:w="1105"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17</w:t>
            </w: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2</w:t>
            </w:r>
          </w:p>
        </w:tc>
        <w:tc>
          <w:tcPr>
            <w:tcW w:w="679" w:type="dxa"/>
            <w:tcBorders/>
            <w:vAlign w:val="center"/>
          </w:tcPr>
          <w:p>
            <w:pPr>
              <w:pStyle w:val="style0"/>
              <w:spacing w:lineRule="exact" w:line="240"/>
              <w:jc w:val="center"/>
              <w:rPr>
                <w:rFonts w:ascii="Times New Roman" w:eastAsia="宋体" w:hAnsi="Times New Roman"/>
                <w:sz w:val="18"/>
                <w:szCs w:val="18"/>
              </w:rPr>
            </w:pPr>
          </w:p>
        </w:tc>
        <w:tc>
          <w:tcPr>
            <w:tcW w:w="682" w:type="dxa"/>
            <w:tcBorders/>
            <w:vAlign w:val="center"/>
          </w:tcPr>
          <w:p>
            <w:pPr>
              <w:pStyle w:val="style0"/>
              <w:spacing w:lineRule="exact" w:line="240"/>
              <w:jc w:val="center"/>
              <w:rPr>
                <w:rFonts w:ascii="Times New Roman" w:eastAsia="宋体" w:hAnsi="Times New Roman"/>
                <w:sz w:val="18"/>
                <w:szCs w:val="18"/>
              </w:rPr>
            </w:pPr>
          </w:p>
        </w:tc>
        <w:tc>
          <w:tcPr>
            <w:tcW w:w="893" w:type="dxa"/>
            <w:tcBorders/>
            <w:vAlign w:val="center"/>
          </w:tcPr>
          <w:p>
            <w:pPr>
              <w:pStyle w:val="style0"/>
              <w:spacing w:lineRule="exact" w:line="240"/>
              <w:jc w:val="center"/>
              <w:rPr>
                <w:rFonts w:ascii="Times New Roman" w:eastAsia="宋体" w:hAnsi="Times New Roman"/>
                <w:sz w:val="18"/>
                <w:szCs w:val="18"/>
              </w:rPr>
            </w:pPr>
          </w:p>
        </w:tc>
        <w:tc>
          <w:tcPr>
            <w:tcW w:w="681" w:type="dxa"/>
            <w:tcBorders/>
            <w:vAlign w:val="center"/>
          </w:tcPr>
          <w:p>
            <w:pPr>
              <w:pStyle w:val="style0"/>
              <w:spacing w:lineRule="exact" w:line="240"/>
              <w:jc w:val="center"/>
              <w:rPr>
                <w:rFonts w:ascii="Times New Roman" w:eastAsia="宋体" w:hAnsi="Times New Roman"/>
                <w:sz w:val="18"/>
                <w:szCs w:val="18"/>
              </w:rPr>
            </w:pPr>
          </w:p>
        </w:tc>
        <w:tc>
          <w:tcPr>
            <w:tcW w:w="469" w:type="dxa"/>
            <w:tcBorders/>
            <w:vAlign w:val="center"/>
          </w:tcPr>
          <w:p>
            <w:pPr>
              <w:pStyle w:val="style0"/>
              <w:spacing w:lineRule="exact" w:line="240"/>
              <w:jc w:val="center"/>
              <w:rPr>
                <w:rFonts w:ascii="Times New Roman" w:eastAsia="宋体" w:hAnsi="Times New Roman"/>
                <w:sz w:val="18"/>
                <w:szCs w:val="18"/>
              </w:rPr>
            </w:pPr>
          </w:p>
        </w:tc>
        <w:tc>
          <w:tcPr>
            <w:tcW w:w="465"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w:t>
            </w:r>
          </w:p>
        </w:tc>
      </w:tr>
      <w:tr>
        <w:tblPrEx/>
        <w:trPr>
          <w:cantSplit/>
          <w:trHeight w:val="20" w:hRule="atLeast"/>
          <w:jc w:val="center"/>
        </w:trPr>
        <w:tc>
          <w:tcPr>
            <w:tcW w:w="681" w:type="dxa"/>
            <w:vMerge w:val="restart"/>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二</w:t>
            </w:r>
          </w:p>
        </w:tc>
        <w:tc>
          <w:tcPr>
            <w:tcW w:w="576"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III</w:t>
            </w:r>
          </w:p>
        </w:tc>
        <w:tc>
          <w:tcPr>
            <w:tcW w:w="488" w:type="dxa"/>
            <w:vMerge w:val="restart"/>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52</w:t>
            </w: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20</w:t>
            </w:r>
          </w:p>
        </w:tc>
        <w:tc>
          <w:tcPr>
            <w:tcW w:w="753"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4</w:t>
            </w:r>
          </w:p>
        </w:tc>
        <w:tc>
          <w:tcPr>
            <w:tcW w:w="1105"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15</w:t>
            </w: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2</w:t>
            </w:r>
          </w:p>
        </w:tc>
        <w:tc>
          <w:tcPr>
            <w:tcW w:w="679"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2</w:t>
            </w:r>
          </w:p>
        </w:tc>
        <w:tc>
          <w:tcPr>
            <w:tcW w:w="682" w:type="dxa"/>
            <w:tcBorders/>
            <w:vAlign w:val="center"/>
          </w:tcPr>
          <w:p>
            <w:pPr>
              <w:pStyle w:val="style0"/>
              <w:spacing w:lineRule="exact" w:line="240"/>
              <w:jc w:val="center"/>
              <w:rPr>
                <w:rFonts w:ascii="Times New Roman" w:eastAsia="宋体" w:hAnsi="Times New Roman"/>
                <w:sz w:val="18"/>
                <w:szCs w:val="18"/>
              </w:rPr>
            </w:pPr>
          </w:p>
        </w:tc>
        <w:tc>
          <w:tcPr>
            <w:tcW w:w="893" w:type="dxa"/>
            <w:tcBorders/>
            <w:vAlign w:val="center"/>
          </w:tcPr>
          <w:p>
            <w:pPr>
              <w:pStyle w:val="style0"/>
              <w:spacing w:lineRule="exact" w:line="240"/>
              <w:jc w:val="center"/>
              <w:rPr>
                <w:rFonts w:ascii="Times New Roman" w:eastAsia="宋体" w:hAnsi="Times New Roman"/>
                <w:sz w:val="18"/>
                <w:szCs w:val="18"/>
              </w:rPr>
            </w:pPr>
          </w:p>
        </w:tc>
        <w:tc>
          <w:tcPr>
            <w:tcW w:w="681" w:type="dxa"/>
            <w:tcBorders/>
            <w:vAlign w:val="center"/>
          </w:tcPr>
          <w:p>
            <w:pPr>
              <w:pStyle w:val="style0"/>
              <w:spacing w:lineRule="exact" w:line="240"/>
              <w:jc w:val="center"/>
              <w:rPr>
                <w:rFonts w:ascii="Times New Roman" w:eastAsia="宋体" w:hAnsi="Times New Roman"/>
                <w:sz w:val="18"/>
                <w:szCs w:val="18"/>
              </w:rPr>
            </w:pPr>
          </w:p>
        </w:tc>
        <w:tc>
          <w:tcPr>
            <w:tcW w:w="469" w:type="dxa"/>
            <w:tcBorders/>
            <w:vAlign w:val="center"/>
          </w:tcPr>
          <w:p>
            <w:pPr>
              <w:pStyle w:val="style0"/>
              <w:spacing w:lineRule="exact" w:line="240"/>
              <w:jc w:val="center"/>
              <w:rPr>
                <w:rFonts w:ascii="Times New Roman" w:eastAsia="宋体" w:hAnsi="Times New Roman"/>
                <w:sz w:val="18"/>
                <w:szCs w:val="18"/>
              </w:rPr>
            </w:pPr>
          </w:p>
        </w:tc>
        <w:tc>
          <w:tcPr>
            <w:tcW w:w="465"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w:t>
            </w:r>
          </w:p>
        </w:tc>
      </w:tr>
      <w:tr>
        <w:tblPrEx/>
        <w:trPr>
          <w:cantSplit/>
          <w:trHeight w:val="20" w:hRule="atLeast"/>
          <w:jc w:val="center"/>
        </w:trPr>
        <w:tc>
          <w:tcPr>
            <w:tcW w:w="681" w:type="dxa"/>
            <w:vMerge w:val="continue"/>
            <w:tcBorders/>
            <w:vAlign w:val="center"/>
          </w:tcPr>
          <w:p>
            <w:pPr>
              <w:pStyle w:val="style0"/>
              <w:spacing w:lineRule="exact" w:line="240"/>
              <w:jc w:val="center"/>
              <w:rPr>
                <w:rFonts w:ascii="Times New Roman" w:eastAsia="宋体" w:hAnsi="Times New Roman"/>
                <w:sz w:val="18"/>
                <w:szCs w:val="18"/>
              </w:rPr>
            </w:pPr>
          </w:p>
        </w:tc>
        <w:tc>
          <w:tcPr>
            <w:tcW w:w="576"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IV</w:t>
            </w:r>
          </w:p>
        </w:tc>
        <w:tc>
          <w:tcPr>
            <w:tcW w:w="488" w:type="dxa"/>
            <w:vMerge w:val="continue"/>
            <w:tcBorders/>
            <w:vAlign w:val="center"/>
          </w:tcPr>
          <w:p>
            <w:pPr>
              <w:pStyle w:val="style0"/>
              <w:spacing w:lineRule="exact" w:line="240"/>
              <w:jc w:val="center"/>
              <w:rPr>
                <w:rFonts w:ascii="Times New Roman" w:eastAsia="宋体" w:hAnsi="Times New Roman"/>
                <w:sz w:val="18"/>
                <w:szCs w:val="18"/>
              </w:rPr>
            </w:pP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20</w:t>
            </w:r>
          </w:p>
        </w:tc>
        <w:tc>
          <w:tcPr>
            <w:tcW w:w="753"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8</w:t>
            </w:r>
          </w:p>
        </w:tc>
        <w:tc>
          <w:tcPr>
            <w:tcW w:w="1105"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17</w:t>
            </w: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2</w:t>
            </w:r>
          </w:p>
        </w:tc>
        <w:tc>
          <w:tcPr>
            <w:tcW w:w="679" w:type="dxa"/>
            <w:tcBorders/>
            <w:vAlign w:val="center"/>
          </w:tcPr>
          <w:p>
            <w:pPr>
              <w:pStyle w:val="style0"/>
              <w:spacing w:lineRule="exact" w:line="240"/>
              <w:jc w:val="center"/>
              <w:rPr>
                <w:rFonts w:ascii="Times New Roman" w:eastAsia="宋体" w:hAnsi="Times New Roman"/>
                <w:sz w:val="18"/>
                <w:szCs w:val="18"/>
              </w:rPr>
            </w:pPr>
          </w:p>
        </w:tc>
        <w:tc>
          <w:tcPr>
            <w:tcW w:w="682" w:type="dxa"/>
            <w:tcBorders/>
            <w:vAlign w:val="center"/>
          </w:tcPr>
          <w:p>
            <w:pPr>
              <w:pStyle w:val="style0"/>
              <w:spacing w:lineRule="exact" w:line="240"/>
              <w:jc w:val="center"/>
              <w:rPr>
                <w:rFonts w:ascii="Times New Roman" w:eastAsia="宋体" w:hAnsi="Times New Roman"/>
                <w:sz w:val="18"/>
                <w:szCs w:val="18"/>
              </w:rPr>
            </w:pPr>
          </w:p>
        </w:tc>
        <w:tc>
          <w:tcPr>
            <w:tcW w:w="893" w:type="dxa"/>
            <w:tcBorders/>
            <w:vAlign w:val="center"/>
          </w:tcPr>
          <w:p>
            <w:pPr>
              <w:pStyle w:val="style0"/>
              <w:spacing w:lineRule="exact" w:line="240"/>
              <w:jc w:val="center"/>
              <w:rPr>
                <w:rFonts w:ascii="Times New Roman" w:eastAsia="宋体" w:hAnsi="Times New Roman"/>
                <w:sz w:val="18"/>
                <w:szCs w:val="18"/>
              </w:rPr>
            </w:pPr>
          </w:p>
        </w:tc>
        <w:tc>
          <w:tcPr>
            <w:tcW w:w="681" w:type="dxa"/>
            <w:tcBorders/>
            <w:vAlign w:val="center"/>
          </w:tcPr>
          <w:p>
            <w:pPr>
              <w:pStyle w:val="style0"/>
              <w:spacing w:lineRule="exact" w:line="240"/>
              <w:jc w:val="center"/>
              <w:rPr>
                <w:rFonts w:ascii="Times New Roman" w:eastAsia="宋体" w:hAnsi="Times New Roman"/>
                <w:sz w:val="18"/>
                <w:szCs w:val="18"/>
              </w:rPr>
            </w:pPr>
          </w:p>
        </w:tc>
        <w:tc>
          <w:tcPr>
            <w:tcW w:w="469" w:type="dxa"/>
            <w:tcBorders/>
            <w:vAlign w:val="center"/>
          </w:tcPr>
          <w:p>
            <w:pPr>
              <w:pStyle w:val="style0"/>
              <w:spacing w:lineRule="exact" w:line="240"/>
              <w:jc w:val="center"/>
              <w:rPr>
                <w:rFonts w:ascii="Times New Roman" w:eastAsia="宋体" w:hAnsi="Times New Roman"/>
                <w:sz w:val="18"/>
                <w:szCs w:val="18"/>
              </w:rPr>
            </w:pPr>
          </w:p>
        </w:tc>
        <w:tc>
          <w:tcPr>
            <w:tcW w:w="465"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w:t>
            </w:r>
          </w:p>
        </w:tc>
      </w:tr>
      <w:tr>
        <w:tblPrEx/>
        <w:trPr>
          <w:cantSplit/>
          <w:trHeight w:val="20" w:hRule="atLeast"/>
          <w:jc w:val="center"/>
        </w:trPr>
        <w:tc>
          <w:tcPr>
            <w:tcW w:w="681" w:type="dxa"/>
            <w:vMerge w:val="restart"/>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三</w:t>
            </w:r>
          </w:p>
        </w:tc>
        <w:tc>
          <w:tcPr>
            <w:tcW w:w="576"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V</w:t>
            </w:r>
          </w:p>
        </w:tc>
        <w:tc>
          <w:tcPr>
            <w:tcW w:w="488" w:type="dxa"/>
            <w:vMerge w:val="restart"/>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52</w:t>
            </w: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20</w:t>
            </w:r>
          </w:p>
        </w:tc>
        <w:tc>
          <w:tcPr>
            <w:tcW w:w="753"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4</w:t>
            </w:r>
          </w:p>
        </w:tc>
        <w:tc>
          <w:tcPr>
            <w:tcW w:w="1105"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16</w:t>
            </w: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w:t>
            </w:r>
          </w:p>
        </w:tc>
        <w:tc>
          <w:tcPr>
            <w:tcW w:w="679" w:type="dxa"/>
            <w:tcBorders/>
            <w:vAlign w:val="center"/>
          </w:tcPr>
          <w:p>
            <w:pPr>
              <w:pStyle w:val="style0"/>
              <w:spacing w:lineRule="exact" w:line="240"/>
              <w:jc w:val="center"/>
              <w:rPr>
                <w:rFonts w:ascii="Times New Roman" w:eastAsia="宋体" w:hAnsi="Times New Roman"/>
                <w:sz w:val="18"/>
                <w:szCs w:val="18"/>
              </w:rPr>
            </w:pPr>
          </w:p>
        </w:tc>
        <w:tc>
          <w:tcPr>
            <w:tcW w:w="682" w:type="dxa"/>
            <w:tcBorders/>
            <w:vAlign w:val="center"/>
          </w:tcPr>
          <w:p>
            <w:pPr>
              <w:pStyle w:val="style0"/>
              <w:spacing w:lineRule="exact" w:line="240"/>
              <w:jc w:val="center"/>
              <w:rPr>
                <w:rFonts w:ascii="Times New Roman" w:eastAsia="宋体" w:hAnsi="Times New Roman"/>
                <w:sz w:val="18"/>
                <w:szCs w:val="18"/>
              </w:rPr>
            </w:pPr>
          </w:p>
        </w:tc>
        <w:tc>
          <w:tcPr>
            <w:tcW w:w="893"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2</w:t>
            </w:r>
          </w:p>
        </w:tc>
        <w:tc>
          <w:tcPr>
            <w:tcW w:w="681" w:type="dxa"/>
            <w:tcBorders/>
            <w:vAlign w:val="center"/>
          </w:tcPr>
          <w:p>
            <w:pPr>
              <w:pStyle w:val="style0"/>
              <w:spacing w:lineRule="exact" w:line="240"/>
              <w:jc w:val="center"/>
              <w:rPr>
                <w:rFonts w:ascii="Times New Roman" w:eastAsia="宋体" w:hAnsi="Times New Roman"/>
                <w:sz w:val="18"/>
                <w:szCs w:val="18"/>
              </w:rPr>
            </w:pPr>
          </w:p>
        </w:tc>
        <w:tc>
          <w:tcPr>
            <w:tcW w:w="469" w:type="dxa"/>
            <w:tcBorders/>
            <w:vAlign w:val="center"/>
          </w:tcPr>
          <w:p>
            <w:pPr>
              <w:pStyle w:val="style0"/>
              <w:spacing w:lineRule="exact" w:line="240"/>
              <w:jc w:val="center"/>
              <w:rPr>
                <w:rFonts w:ascii="Times New Roman" w:eastAsia="宋体" w:hAnsi="Times New Roman"/>
                <w:sz w:val="18"/>
                <w:szCs w:val="18"/>
              </w:rPr>
            </w:pPr>
          </w:p>
        </w:tc>
        <w:tc>
          <w:tcPr>
            <w:tcW w:w="465"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w:t>
            </w:r>
          </w:p>
        </w:tc>
      </w:tr>
      <w:tr>
        <w:tblPrEx/>
        <w:trPr>
          <w:cantSplit/>
          <w:trHeight w:val="20" w:hRule="atLeast"/>
          <w:jc w:val="center"/>
        </w:trPr>
        <w:tc>
          <w:tcPr>
            <w:tcW w:w="681" w:type="dxa"/>
            <w:vMerge w:val="continue"/>
            <w:tcBorders/>
            <w:vAlign w:val="center"/>
          </w:tcPr>
          <w:p>
            <w:pPr>
              <w:pStyle w:val="style0"/>
              <w:spacing w:lineRule="exact" w:line="240"/>
              <w:jc w:val="center"/>
              <w:rPr>
                <w:rFonts w:ascii="Times New Roman" w:eastAsia="宋体" w:hAnsi="Times New Roman"/>
                <w:sz w:val="18"/>
                <w:szCs w:val="18"/>
              </w:rPr>
            </w:pPr>
          </w:p>
        </w:tc>
        <w:tc>
          <w:tcPr>
            <w:tcW w:w="576"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VI</w:t>
            </w:r>
          </w:p>
        </w:tc>
        <w:tc>
          <w:tcPr>
            <w:tcW w:w="488" w:type="dxa"/>
            <w:vMerge w:val="continue"/>
            <w:tcBorders/>
            <w:vAlign w:val="center"/>
          </w:tcPr>
          <w:p>
            <w:pPr>
              <w:pStyle w:val="style0"/>
              <w:spacing w:lineRule="exact" w:line="240"/>
              <w:jc w:val="center"/>
              <w:rPr>
                <w:rFonts w:ascii="Times New Roman" w:eastAsia="宋体" w:hAnsi="Times New Roman"/>
                <w:sz w:val="18"/>
                <w:szCs w:val="18"/>
              </w:rPr>
            </w:pPr>
          </w:p>
        </w:tc>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sz w:val="18"/>
                <w:szCs w:val="18"/>
              </w:rPr>
              <w:t>20</w:t>
            </w:r>
          </w:p>
        </w:tc>
        <w:tc>
          <w:tcPr>
            <w:tcW w:w="753"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8</w:t>
            </w:r>
          </w:p>
        </w:tc>
        <w:tc>
          <w:tcPr>
            <w:tcW w:w="1105" w:type="dxa"/>
            <w:tcBorders/>
            <w:vAlign w:val="center"/>
          </w:tcPr>
          <w:p>
            <w:pPr>
              <w:pStyle w:val="style0"/>
              <w:spacing w:lineRule="exact" w:line="240"/>
              <w:jc w:val="center"/>
              <w:rPr>
                <w:rFonts w:ascii="Times New Roman" w:eastAsia="宋体" w:hAnsi="Times New Roman"/>
                <w:sz w:val="18"/>
                <w:szCs w:val="18"/>
              </w:rPr>
            </w:pPr>
          </w:p>
        </w:tc>
        <w:tc>
          <w:tcPr>
            <w:tcW w:w="681" w:type="dxa"/>
            <w:tcBorders/>
            <w:vAlign w:val="center"/>
          </w:tcPr>
          <w:p>
            <w:pPr>
              <w:pStyle w:val="style0"/>
              <w:spacing w:lineRule="exact" w:line="240"/>
              <w:jc w:val="center"/>
              <w:rPr>
                <w:rFonts w:ascii="Times New Roman" w:eastAsia="宋体" w:hAnsi="Times New Roman"/>
                <w:sz w:val="18"/>
                <w:szCs w:val="18"/>
              </w:rPr>
            </w:pPr>
          </w:p>
        </w:tc>
        <w:tc>
          <w:tcPr>
            <w:tcW w:w="679" w:type="dxa"/>
            <w:tcBorders/>
            <w:vAlign w:val="center"/>
          </w:tcPr>
          <w:p>
            <w:pPr>
              <w:pStyle w:val="style0"/>
              <w:spacing w:lineRule="exact" w:line="240"/>
              <w:jc w:val="center"/>
              <w:rPr>
                <w:rFonts w:ascii="Times New Roman" w:eastAsia="宋体" w:hAnsi="Times New Roman"/>
                <w:sz w:val="18"/>
                <w:szCs w:val="18"/>
              </w:rPr>
            </w:pPr>
          </w:p>
        </w:tc>
        <w:tc>
          <w:tcPr>
            <w:tcW w:w="682"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18</w:t>
            </w:r>
          </w:p>
        </w:tc>
        <w:tc>
          <w:tcPr>
            <w:tcW w:w="893" w:type="dxa"/>
            <w:tcBorders/>
            <w:vAlign w:val="center"/>
          </w:tcPr>
          <w:p>
            <w:pPr>
              <w:pStyle w:val="style0"/>
              <w:spacing w:lineRule="exact" w:line="240"/>
              <w:jc w:val="center"/>
              <w:rPr>
                <w:rFonts w:ascii="Times New Roman" w:eastAsia="宋体" w:hAnsi="Times New Roman"/>
                <w:sz w:val="18"/>
                <w:szCs w:val="18"/>
              </w:rPr>
            </w:pPr>
          </w:p>
        </w:tc>
        <w:tc>
          <w:tcPr>
            <w:tcW w:w="681" w:type="dxa"/>
            <w:tcBorders/>
            <w:vAlign w:val="center"/>
          </w:tcPr>
          <w:p>
            <w:pPr>
              <w:pStyle w:val="style0"/>
              <w:spacing w:lineRule="exact" w:line="240"/>
              <w:jc w:val="center"/>
              <w:rPr>
                <w:rFonts w:ascii="Times New Roman" w:eastAsia="宋体" w:hAnsi="Times New Roman"/>
                <w:sz w:val="18"/>
                <w:szCs w:val="18"/>
              </w:rPr>
            </w:pPr>
          </w:p>
        </w:tc>
        <w:tc>
          <w:tcPr>
            <w:tcW w:w="469"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w:t>
            </w:r>
          </w:p>
        </w:tc>
        <w:tc>
          <w:tcPr>
            <w:tcW w:w="465"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sz w:val="18"/>
                <w:szCs w:val="18"/>
              </w:rPr>
              <w:t>1</w:t>
            </w:r>
          </w:p>
        </w:tc>
      </w:tr>
      <w:tr>
        <w:tblPrEx/>
        <w:trPr>
          <w:cantSplit/>
          <w:trHeight w:val="20" w:hRule="atLeast"/>
          <w:jc w:val="center"/>
        </w:trPr>
        <w:tc>
          <w:tcPr>
            <w:tcW w:w="681"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合计</w:t>
            </w:r>
          </w:p>
        </w:tc>
        <w:tc>
          <w:tcPr>
            <w:tcW w:w="576" w:type="dxa"/>
            <w:tcBorders/>
            <w:vAlign w:val="center"/>
          </w:tcPr>
          <w:p>
            <w:pPr>
              <w:pStyle w:val="style0"/>
              <w:spacing w:lineRule="exact" w:line="240"/>
              <w:jc w:val="center"/>
              <w:rPr>
                <w:rFonts w:ascii="Times New Roman" w:eastAsia="宋体" w:hAnsi="Times New Roman"/>
                <w:sz w:val="18"/>
                <w:szCs w:val="18"/>
              </w:rPr>
            </w:pPr>
          </w:p>
        </w:tc>
        <w:tc>
          <w:tcPr>
            <w:tcW w:w="488" w:type="dxa"/>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156</w:t>
            </w:r>
          </w:p>
        </w:tc>
        <w:tc>
          <w:tcPr>
            <w:tcW w:w="1434" w:type="dxa"/>
            <w:gridSpan w:val="2"/>
            <w:tcBorders/>
            <w:vAlign w:val="center"/>
          </w:tcPr>
          <w:p>
            <w:pPr>
              <w:pStyle w:val="style0"/>
              <w:spacing w:lineRule="exact" w:line="240"/>
              <w:jc w:val="center"/>
              <w:rPr>
                <w:rFonts w:ascii="Times New Roman" w:eastAsia="宋体" w:hAnsi="Times New Roman"/>
                <w:sz w:val="18"/>
                <w:szCs w:val="18"/>
              </w:rPr>
            </w:pPr>
            <w:r>
              <w:rPr>
                <w:rFonts w:ascii="Times New Roman" w:eastAsia="宋体" w:hAnsi="Times New Roman" w:hint="eastAsia"/>
                <w:sz w:val="18"/>
                <w:szCs w:val="18"/>
              </w:rPr>
              <w:t>156</w:t>
            </w:r>
          </w:p>
        </w:tc>
        <w:tc>
          <w:tcPr>
            <w:tcW w:w="5655" w:type="dxa"/>
            <w:gridSpan w:val="8"/>
            <w:tcBorders/>
            <w:vAlign w:val="center"/>
          </w:tcPr>
          <w:p>
            <w:pPr>
              <w:pStyle w:val="style4104"/>
              <w:widowControl w:val="false"/>
              <w:pBdr>
                <w:left w:val="none" w:sz="0" w:space="0" w:color="auto"/>
                <w:right w:val="none" w:sz="0" w:space="0" w:color="auto"/>
              </w:pBdr>
              <w:spacing w:before="0" w:beforeAutospacing="false" w:after="0" w:afterAutospacing="false" w:lineRule="exact" w:line="240"/>
              <w:textAlignment w:val="auto"/>
              <w:rPr>
                <w:rFonts w:ascii="Times New Roman" w:eastAsia="宋体" w:hAnsi="Times New Roman"/>
                <w:kern w:val="2"/>
                <w:sz w:val="18"/>
                <w:szCs w:val="18"/>
              </w:rPr>
            </w:pPr>
            <w:r>
              <w:rPr>
                <w:rFonts w:ascii="Times New Roman" w:eastAsia="宋体" w:hAnsi="Times New Roman" w:hint="eastAsia"/>
                <w:kern w:val="2"/>
                <w:sz w:val="18"/>
                <w:szCs w:val="18"/>
              </w:rPr>
              <w:t>120</w:t>
            </w:r>
          </w:p>
        </w:tc>
      </w:tr>
    </w:tbl>
    <w:p>
      <w:pPr>
        <w:pStyle w:val="style0"/>
        <w:spacing w:lineRule="exact" w:line="400"/>
        <w:rPr>
          <w:rFonts w:ascii="Times New Roman" w:eastAsia="宋体" w:hAnsi="Times New Roman"/>
        </w:rPr>
      </w:pPr>
      <w:r>
        <w:rPr>
          <w:rFonts w:ascii="Times New Roman" w:eastAsia="宋体" w:hAnsi="Times New Roman" w:hint="eastAsia"/>
        </w:rPr>
        <w:t xml:space="preserve">    </w:t>
      </w:r>
    </w:p>
    <w:p>
      <w:pPr>
        <w:pStyle w:val="style0"/>
        <w:spacing w:lineRule="exact" w:line="400"/>
        <w:ind w:firstLine="210" w:firstLineChars="100"/>
        <w:rPr>
          <w:rFonts w:ascii="Times New Roman" w:eastAsia="宋体" w:hAnsi="Times New Roman"/>
          <w:szCs w:val="21"/>
        </w:rPr>
      </w:pPr>
      <w:r>
        <w:rPr>
          <w:rFonts w:ascii="Times New Roman" w:eastAsia="宋体" w:hAnsi="Times New Roman" w:hint="eastAsia"/>
        </w:rPr>
        <w:t>（二）</w:t>
      </w:r>
      <w:r>
        <w:rPr>
          <w:rFonts w:ascii="Times New Roman" w:eastAsia="宋体" w:hAnsi="Times New Roman" w:hint="eastAsia"/>
          <w:szCs w:val="21"/>
        </w:rPr>
        <w:t>教学进程表</w:t>
      </w:r>
    </w:p>
    <w:tbl>
      <w:tblPr>
        <w:tblStyle w:val="style105"/>
        <w:tblW w:w="4843" w:type="pct"/>
        <w:jc w:val="center"/>
        <w:tblLayout w:type="fixed"/>
        <w:tblCellMar>
          <w:top w:w="0" w:type="dxa"/>
          <w:left w:w="108" w:type="dxa"/>
          <w:bottom w:w="0" w:type="dxa"/>
          <w:right w:w="108" w:type="dxa"/>
        </w:tblCellMar>
      </w:tblPr>
      <w:tblGrid>
        <w:gridCol w:w="366"/>
        <w:gridCol w:w="366"/>
        <w:gridCol w:w="365"/>
        <w:gridCol w:w="965"/>
        <w:gridCol w:w="994"/>
        <w:gridCol w:w="418"/>
        <w:gridCol w:w="491"/>
        <w:gridCol w:w="489"/>
        <w:gridCol w:w="443"/>
        <w:gridCol w:w="515"/>
        <w:gridCol w:w="510"/>
        <w:gridCol w:w="510"/>
        <w:gridCol w:w="510"/>
        <w:gridCol w:w="510"/>
        <w:gridCol w:w="513"/>
        <w:gridCol w:w="592"/>
      </w:tblGrid>
      <w:tr>
        <w:trPr>
          <w:trHeight w:val="300" w:hRule="atLeast"/>
          <w:jc w:val="center"/>
        </w:trPr>
        <w:tc>
          <w:tcPr>
            <w:tcW w:w="427"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课程类别</w:t>
            </w:r>
          </w:p>
        </w:tc>
        <w:tc>
          <w:tcPr>
            <w:tcW w:w="21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课程序号</w:t>
            </w:r>
          </w:p>
        </w:tc>
        <w:tc>
          <w:tcPr>
            <w:tcW w:w="56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课程名称</w:t>
            </w:r>
          </w:p>
        </w:tc>
        <w:tc>
          <w:tcPr>
            <w:tcW w:w="58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课程代码</w:t>
            </w:r>
          </w:p>
        </w:tc>
        <w:tc>
          <w:tcPr>
            <w:tcW w:w="2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学分</w:t>
            </w:r>
          </w:p>
        </w:tc>
        <w:tc>
          <w:tcPr>
            <w:tcW w:w="28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kern w:val="0"/>
                <w:sz w:val="15"/>
                <w:szCs w:val="15"/>
              </w:rPr>
            </w:pPr>
            <w:r>
              <w:rPr>
                <w:rFonts w:ascii="Times New Roman" w:cs="宋体" w:eastAsia="宋体" w:hAnsi="Times New Roman" w:hint="eastAsia"/>
                <w:b/>
                <w:bCs/>
                <w:kern w:val="0"/>
                <w:sz w:val="15"/>
                <w:szCs w:val="15"/>
              </w:rPr>
              <w:t>课时</w:t>
            </w:r>
          </w:p>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总计</w:t>
            </w:r>
          </w:p>
        </w:tc>
        <w:tc>
          <w:tcPr>
            <w:tcW w:w="545"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课时分配</w:t>
            </w:r>
          </w:p>
        </w:tc>
        <w:tc>
          <w:tcPr>
            <w:tcW w:w="179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学年及学期</w:t>
            </w:r>
          </w:p>
        </w:tc>
        <w:tc>
          <w:tcPr>
            <w:tcW w:w="3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kern w:val="0"/>
                <w:sz w:val="15"/>
                <w:szCs w:val="15"/>
              </w:rPr>
            </w:pPr>
            <w:r>
              <w:rPr>
                <w:rFonts w:ascii="Times New Roman" w:cs="宋体" w:eastAsia="宋体" w:hAnsi="Times New Roman" w:hint="eastAsia"/>
                <w:b/>
                <w:bCs/>
                <w:kern w:val="0"/>
                <w:sz w:val="15"/>
                <w:szCs w:val="15"/>
              </w:rPr>
              <w:t>考试</w:t>
            </w:r>
          </w:p>
          <w:p>
            <w:pPr>
              <w:pStyle w:val="style0"/>
              <w:widowControl/>
              <w:spacing w:lineRule="exact" w:line="200"/>
              <w:jc w:val="center"/>
              <w:textAlignment w:val="center"/>
              <w:rPr>
                <w:rFonts w:ascii="Times New Roman" w:cs="宋体" w:eastAsia="宋体" w:hAnsi="Times New Roman"/>
                <w:b/>
                <w:bCs/>
                <w:kern w:val="0"/>
                <w:sz w:val="15"/>
                <w:szCs w:val="15"/>
              </w:rPr>
            </w:pPr>
            <w:r>
              <w:rPr>
                <w:rFonts w:ascii="Times New Roman" w:cs="宋体" w:eastAsia="宋体" w:hAnsi="Times New Roman" w:hint="eastAsia"/>
                <w:b/>
                <w:bCs/>
                <w:kern w:val="0"/>
                <w:sz w:val="15"/>
                <w:szCs w:val="15"/>
              </w:rPr>
              <w:t>（大写）</w:t>
            </w:r>
          </w:p>
          <w:p>
            <w:pPr>
              <w:pStyle w:val="style0"/>
              <w:widowControl/>
              <w:spacing w:lineRule="exact" w:line="200"/>
              <w:jc w:val="center"/>
              <w:textAlignment w:val="center"/>
              <w:rPr>
                <w:rFonts w:ascii="Times New Roman" w:cs="宋体" w:eastAsia="宋体" w:hAnsi="Times New Roman"/>
                <w:b/>
                <w:bCs/>
                <w:kern w:val="0"/>
                <w:sz w:val="15"/>
                <w:szCs w:val="15"/>
              </w:rPr>
            </w:pPr>
            <w:r>
              <w:rPr>
                <w:rFonts w:ascii="Times New Roman" w:cs="宋体" w:eastAsia="宋体" w:hAnsi="Times New Roman" w:hint="eastAsia"/>
                <w:b/>
                <w:bCs/>
                <w:kern w:val="0"/>
                <w:sz w:val="15"/>
                <w:szCs w:val="15"/>
              </w:rPr>
              <w:t>考查</w:t>
            </w:r>
          </w:p>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（小写）</w:t>
            </w:r>
          </w:p>
        </w:tc>
      </w:tr>
      <w:tr>
        <w:tblPrEx/>
        <w:trPr>
          <w:trHeight w:val="300" w:hRule="atLeast"/>
          <w:jc w:val="center"/>
        </w:trPr>
        <w:tc>
          <w:tcPr>
            <w:tcW w:w="427" w:type="pct"/>
            <w:gridSpan w:val="2"/>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56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581"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44"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87"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545" w:type="pct"/>
            <w:gridSpan w:val="2"/>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179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（教学周数*周学时数）</w:t>
            </w:r>
          </w:p>
        </w:tc>
        <w:tc>
          <w:tcPr>
            <w:tcW w:w="345"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r>
      <w:tr>
        <w:tblPrEx/>
        <w:trPr>
          <w:trHeight w:val="300" w:hRule="atLeast"/>
          <w:jc w:val="center"/>
        </w:trPr>
        <w:tc>
          <w:tcPr>
            <w:tcW w:w="427" w:type="pct"/>
            <w:gridSpan w:val="2"/>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56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581"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44"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87"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理论课</w:t>
            </w:r>
          </w:p>
        </w:tc>
        <w:tc>
          <w:tcPr>
            <w:tcW w:w="25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实训课</w:t>
            </w:r>
          </w:p>
        </w:tc>
        <w:tc>
          <w:tcPr>
            <w:tcW w:w="59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1学年</w:t>
            </w:r>
          </w:p>
        </w:tc>
        <w:tc>
          <w:tcPr>
            <w:tcW w:w="59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2学年</w:t>
            </w:r>
          </w:p>
        </w:tc>
        <w:tc>
          <w:tcPr>
            <w:tcW w:w="59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3学年</w:t>
            </w:r>
          </w:p>
        </w:tc>
        <w:tc>
          <w:tcPr>
            <w:tcW w:w="345"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r>
      <w:tr>
        <w:tblPrEx/>
        <w:trPr>
          <w:trHeight w:val="270" w:hRule="atLeast"/>
          <w:jc w:val="center"/>
        </w:trPr>
        <w:tc>
          <w:tcPr>
            <w:tcW w:w="427" w:type="pct"/>
            <w:gridSpan w:val="2"/>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56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581"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44"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87"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86"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58"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3</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5</w:t>
            </w: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6</w:t>
            </w:r>
          </w:p>
        </w:tc>
        <w:tc>
          <w:tcPr>
            <w:tcW w:w="345"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r>
      <w:tr>
        <w:tblPrEx/>
        <w:trPr>
          <w:trHeight w:val="270" w:hRule="atLeast"/>
          <w:jc w:val="center"/>
        </w:trPr>
        <w:tc>
          <w:tcPr>
            <w:tcW w:w="427" w:type="pct"/>
            <w:gridSpan w:val="2"/>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56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581"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44"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87"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86"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58"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14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17</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17</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17</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16</w:t>
            </w: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b/>
                <w:bCs/>
                <w:sz w:val="15"/>
                <w:szCs w:val="15"/>
              </w:rPr>
            </w:pPr>
            <w:r>
              <w:rPr>
                <w:rFonts w:ascii="Times New Roman" w:cs="宋体" w:eastAsia="宋体" w:hAnsi="Times New Roman" w:hint="eastAsia"/>
                <w:b/>
                <w:bCs/>
                <w:kern w:val="0"/>
                <w:sz w:val="15"/>
                <w:szCs w:val="15"/>
              </w:rPr>
              <w:t>18</w:t>
            </w:r>
          </w:p>
        </w:tc>
        <w:tc>
          <w:tcPr>
            <w:tcW w:w="345"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b/>
                <w:bCs/>
                <w:sz w:val="15"/>
                <w:szCs w:val="15"/>
              </w:rPr>
            </w:pPr>
          </w:p>
        </w:tc>
      </w:tr>
      <w:tr>
        <w:tblPrEx/>
        <w:trPr>
          <w:trHeight w:val="480" w:hRule="atLeast"/>
          <w:jc w:val="center"/>
        </w:trPr>
        <w:tc>
          <w:tcPr>
            <w:tcW w:w="21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必修课</w:t>
            </w:r>
          </w:p>
        </w:tc>
        <w:tc>
          <w:tcPr>
            <w:tcW w:w="21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公共基础课</w:t>
            </w: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军事理论</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5307011110</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36</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14*1+4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16*1+2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一</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军事训练</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5307011140</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112</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112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思想道德与法治</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5307011141</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48</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14*3+6</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大学生心理健康教育</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5307011142</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32</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16*1+16</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大学生创新创业基础</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5307011143</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14</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14</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14*1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6</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综合英语</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5307011111</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76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76</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14*2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16*3</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一二</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7</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形势与政策</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5307011150</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32</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32</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1234</w:t>
            </w: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8</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大学生安全教育</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5307011151</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1234</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9</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体育与健康</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5307011152</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7.5</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118</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110</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14*2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15*2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15*2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15*2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1234</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10</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实用大学语文</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5307011113</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48</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kern w:val="0"/>
                <w:sz w:val="15"/>
                <w:szCs w:val="15"/>
                <w:lang w:val="en-US"/>
              </w:rPr>
              <w:t>16*3</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一</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11</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信息技术</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5307011144</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60</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30</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15*4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r>
      <w:tr>
        <w:tblPrEx/>
        <w:trPr>
          <w:trHeight w:val="90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12</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毛泽东思想和中国特色社会主义理论体系概论</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5307011145</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32</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32</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nil"/>
              <w:left w:val="nil"/>
              <w:bottom w:val="nil"/>
              <w:right w:val="nil"/>
            </w:tcBorders>
            <w:shd w:val="clear" w:color="auto" w:fill="auto"/>
            <w:noWrap/>
            <w:vAlign w:val="center"/>
          </w:tcPr>
          <w:p>
            <w:pPr>
              <w:pStyle w:val="style0"/>
              <w:widowControl/>
              <w:spacing w:lineRule="exact" w:line="200"/>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13</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红色文化</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5307011146</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14</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职业生涯规划</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5307011153</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8</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23</w:t>
            </w: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15</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五粮文化育人学思践悟</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5307011154</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23</w:t>
            </w:r>
          </w:p>
        </w:tc>
      </w:tr>
      <w:tr>
        <w:tblPrEx/>
        <w:trPr>
          <w:trHeight w:val="675"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习近平新时代中国特色社会主义思想概论</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5307011155</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48</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34</w:t>
            </w: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17</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大学生就业指导</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5307011156</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32</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16*1+16</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18</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*劳动教育</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5307011160</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48</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24</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24</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8</w:t>
            </w: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8</w:t>
            </w: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1345</w:t>
            </w: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19</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*大学生健康教育</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5307011147</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20</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第二课堂（创新创业实践）</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5307011161</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32</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32</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12345</w:t>
            </w: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21</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第二课堂（其他）</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5307011162</w:t>
            </w: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32</w:t>
            </w:r>
          </w:p>
        </w:tc>
        <w:tc>
          <w:tcPr>
            <w:tcW w:w="2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0</w:t>
            </w:r>
          </w:p>
        </w:tc>
        <w:tc>
          <w:tcPr>
            <w:tcW w:w="2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32</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12345</w:t>
            </w:r>
          </w:p>
        </w:tc>
      </w:tr>
      <w:tr>
        <w:tblPrEx/>
        <w:trPr>
          <w:trHeight w:val="30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99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小计（周课时不含网络课程）</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bottom"/>
              <w:rPr>
                <w:rFonts w:ascii="Times New Roman" w:cs="宋体" w:eastAsia="宋体" w:hAnsi="Times New Roman"/>
                <w:sz w:val="15"/>
                <w:szCs w:val="15"/>
              </w:rPr>
            </w:pPr>
            <w:r>
              <w:rPr>
                <w:rFonts w:ascii="Times New Roman" w:cs="宋体" w:eastAsia="宋体" w:hAnsi="Times New Roman"/>
                <w:sz w:val="15"/>
                <w:szCs w:val="15"/>
              </w:rPr>
              <w:t>49.5</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bottom"/>
              <w:rPr>
                <w:rFonts w:ascii="Times New Roman" w:cs="宋体" w:eastAsia="宋体" w:hAnsi="Times New Roman"/>
                <w:sz w:val="15"/>
                <w:szCs w:val="15"/>
              </w:rPr>
            </w:pPr>
            <w:r>
              <w:rPr>
                <w:rFonts w:ascii="Times New Roman" w:cs="宋体" w:eastAsia="宋体" w:hAnsi="Times New Roman"/>
                <w:sz w:val="15"/>
                <w:szCs w:val="15"/>
              </w:rPr>
              <w:t>880</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bottom"/>
              <w:rPr>
                <w:rFonts w:ascii="Times New Roman" w:cs="宋体" w:eastAsia="宋体" w:hAnsi="Times New Roman"/>
                <w:sz w:val="15"/>
                <w:szCs w:val="15"/>
              </w:rPr>
            </w:pPr>
            <w:r>
              <w:rPr>
                <w:rFonts w:ascii="Times New Roman" w:cs="宋体" w:eastAsia="宋体" w:hAnsi="Times New Roman"/>
                <w:sz w:val="15"/>
                <w:szCs w:val="15"/>
              </w:rPr>
              <w:t>500</w:t>
            </w:r>
          </w:p>
        </w:tc>
        <w:tc>
          <w:tcPr>
            <w:tcW w:w="443"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bottom"/>
              <w:rPr>
                <w:rFonts w:ascii="Times New Roman" w:cs="宋体" w:eastAsia="宋体" w:hAnsi="Times New Roman"/>
                <w:sz w:val="15"/>
                <w:szCs w:val="15"/>
              </w:rPr>
            </w:pPr>
            <w:r>
              <w:rPr>
                <w:rFonts w:ascii="Times New Roman" w:cs="宋体" w:eastAsia="宋体" w:hAnsi="Times New Roman"/>
                <w:sz w:val="15"/>
                <w:szCs w:val="15"/>
              </w:rPr>
              <w:t>380</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bottom"/>
              <w:rPr>
                <w:rFonts w:ascii="Times New Roman" w:cs="宋体" w:eastAsia="宋体" w:hAnsi="Times New Roman"/>
                <w:sz w:val="15"/>
                <w:szCs w:val="15"/>
              </w:rPr>
            </w:pPr>
            <w:r>
              <w:rPr>
                <w:rFonts w:ascii="Times New Roman" w:cs="宋体" w:eastAsia="宋体" w:hAnsi="Times New Roman" w:hint="eastAsia"/>
                <w:kern w:val="0"/>
                <w:sz w:val="15"/>
                <w:szCs w:val="15"/>
              </w:rPr>
              <w:t>15</w:t>
            </w: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bottom"/>
              <w:rPr>
                <w:rFonts w:ascii="Times New Roman" w:cs="宋体" w:eastAsia="宋体" w:hAnsi="Times New Roman"/>
                <w:sz w:val="15"/>
                <w:szCs w:val="15"/>
              </w:rPr>
            </w:pPr>
            <w:r>
              <w:rPr>
                <w:rFonts w:ascii="Times New Roman" w:cs="宋体" w:eastAsia="宋体" w:hAnsi="Times New Roman" w:hint="eastAsia"/>
                <w:kern w:val="0"/>
                <w:sz w:val="15"/>
                <w:szCs w:val="15"/>
              </w:rPr>
              <w:t>1</w:t>
            </w:r>
            <w:r>
              <w:rPr>
                <w:rFonts w:ascii="Times New Roman" w:cs="宋体" w:eastAsia="宋体" w:hAnsi="Times New Roman" w:hint="default"/>
                <w:kern w:val="0"/>
                <w:sz w:val="15"/>
                <w:szCs w:val="15"/>
                <w:lang w:val="en-US"/>
              </w:rPr>
              <w:t>4</w:t>
            </w:r>
            <w:r>
              <w:rPr>
                <w:rFonts w:ascii="Times New Roman" w:cs="宋体" w:eastAsia="宋体" w:hAnsi="Times New Roman" w:hint="eastAsia"/>
                <w:kern w:val="0"/>
                <w:sz w:val="15"/>
                <w:szCs w:val="15"/>
              </w:rPr>
              <w:t>.5</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bottom"/>
              <w:rPr>
                <w:rFonts w:ascii="Times New Roman" w:cs="宋体" w:eastAsia="宋体" w:hAnsi="Times New Roman"/>
                <w:sz w:val="15"/>
                <w:szCs w:val="15"/>
              </w:rPr>
            </w:pPr>
            <w:r>
              <w:rPr>
                <w:rFonts w:ascii="Times New Roman" w:cs="宋体" w:eastAsia="宋体" w:hAnsi="Times New Roman" w:hint="default"/>
                <w:kern w:val="0"/>
                <w:sz w:val="15"/>
                <w:szCs w:val="15"/>
                <w:lang w:val="en-US"/>
              </w:rPr>
              <w:t>4</w:t>
            </w:r>
            <w:r>
              <w:rPr>
                <w:rFonts w:ascii="Times New Roman" w:cs="宋体" w:eastAsia="宋体" w:hAnsi="Times New Roman" w:hint="eastAsia"/>
                <w:kern w:val="0"/>
                <w:sz w:val="15"/>
                <w:szCs w:val="15"/>
              </w:rPr>
              <w:t>.5</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bottom"/>
              <w:rPr>
                <w:rFonts w:ascii="Times New Roman" w:cs="宋体" w:eastAsia="宋体" w:hAnsi="Times New Roman"/>
                <w:sz w:val="15"/>
                <w:szCs w:val="15"/>
              </w:rPr>
            </w:pPr>
            <w:r>
              <w:rPr>
                <w:rFonts w:ascii="Times New Roman" w:cs="宋体" w:eastAsia="宋体" w:hAnsi="Times New Roman" w:hint="default"/>
                <w:kern w:val="0"/>
                <w:sz w:val="15"/>
                <w:szCs w:val="15"/>
                <w:lang w:val="en-US"/>
              </w:rPr>
              <w:t>7</w:t>
            </w:r>
            <w:r>
              <w:rPr>
                <w:rFonts w:ascii="Times New Roman" w:cs="宋体" w:eastAsia="宋体" w:hAnsi="Times New Roman" w:hint="eastAsia"/>
                <w:kern w:val="0"/>
                <w:sz w:val="15"/>
                <w:szCs w:val="15"/>
              </w:rPr>
              <w:t>.5</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bottom"/>
              <w:rPr>
                <w:rFonts w:ascii="Times New Roman" w:cs="宋体" w:eastAsia="宋体" w:hAnsi="Times New Roman"/>
                <w:sz w:val="15"/>
                <w:szCs w:val="15"/>
              </w:rPr>
            </w:pPr>
            <w:r>
              <w:rPr>
                <w:rFonts w:ascii="Times New Roman" w:cs="宋体" w:eastAsia="宋体" w:hAnsi="Times New Roman" w:hint="eastAsia"/>
                <w:kern w:val="0"/>
                <w:sz w:val="15"/>
                <w:szCs w:val="15"/>
              </w:rPr>
              <w:t>0</w:t>
            </w: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bottom"/>
              <w:rPr>
                <w:rFonts w:ascii="Times New Roman" w:cs="宋体" w:eastAsia="宋体" w:hAnsi="Times New Roman"/>
                <w:sz w:val="15"/>
                <w:szCs w:val="15"/>
              </w:rPr>
            </w:pPr>
            <w:r>
              <w:rPr>
                <w:rFonts w:ascii="Times New Roman" w:cs="宋体" w:eastAsia="宋体" w:hAnsi="Times New Roman" w:hint="eastAsia"/>
                <w:kern w:val="0"/>
                <w:sz w:val="15"/>
                <w:szCs w:val="15"/>
              </w:rPr>
              <w:t>0</w:t>
            </w: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r>
      <w:tr>
        <w:tblPrEx/>
        <w:trPr>
          <w:trHeight w:val="493" w:hRule="atLeast"/>
          <w:jc w:val="center"/>
        </w:trPr>
        <w:tc>
          <w:tcPr>
            <w:tcW w:w="5000" w:type="pct"/>
            <w:gridSpan w:val="16"/>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群外专业</w:t>
            </w:r>
          </w:p>
        </w:tc>
      </w:tr>
      <w:tr>
        <w:tblPrEx/>
        <w:trPr>
          <w:trHeight w:val="310" w:hRule="atLeast"/>
          <w:jc w:val="center"/>
        </w:trPr>
        <w:tc>
          <w:tcPr>
            <w:tcW w:w="21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必修课</w:t>
            </w:r>
          </w:p>
        </w:tc>
        <w:tc>
          <w:tcPr>
            <w:tcW w:w="21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专业基础课</w:t>
            </w: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市场营销</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5307011213</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3.5</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28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28</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14*4</w:t>
            </w: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一</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2</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内容营销</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5307011211</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68</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34</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34</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17*4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二</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3</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数据可视化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5307011223</w:t>
            </w:r>
          </w:p>
        </w:tc>
        <w:tc>
          <w:tcPr>
            <w:tcW w:w="41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60</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30</w:t>
            </w:r>
          </w:p>
        </w:tc>
        <w:tc>
          <w:tcPr>
            <w:tcW w:w="443"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30</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15*4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三</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专业核心课</w:t>
            </w: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4</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网店运营</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C5307011310</w:t>
            </w:r>
          </w:p>
        </w:tc>
        <w:tc>
          <w:tcPr>
            <w:tcW w:w="41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3.5</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56</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28</w:t>
            </w:r>
          </w:p>
        </w:tc>
        <w:tc>
          <w:tcPr>
            <w:tcW w:w="443"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28</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14*4</w:t>
            </w: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一</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5</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视觉营销设计</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N5307011312</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8.5</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136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68</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17*8</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二</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6</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短视频制作</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5307011323</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60</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30</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15*4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三</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7</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营销心理学</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5307011350</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60</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30</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15*4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8</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网店客服</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N5307011321</w:t>
            </w:r>
          </w:p>
        </w:tc>
        <w:tc>
          <w:tcPr>
            <w:tcW w:w="41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60</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30</w:t>
            </w:r>
          </w:p>
        </w:tc>
        <w:tc>
          <w:tcPr>
            <w:tcW w:w="443"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30</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15*4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三</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9</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直播运营</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5307011354</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90</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45</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45</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15*6</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10</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网店推广</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N5307011322</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8.5</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136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68</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17*8</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四</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11</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新媒体推广</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5307011352</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68</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34</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34</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17*4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12</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搜索引擎营销</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5307011353</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68</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34</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34</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17*4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13</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文案策划与写作</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5307011363</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64</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32</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32</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16*4</w:t>
            </w: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14</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网络营销</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5307011330</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96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48</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16*6</w:t>
            </w: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五</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15</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数据化营销</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N5307011331</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96</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48</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16*6</w:t>
            </w: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五</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16</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网页设计与制作</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5307011362</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64</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32</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32</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16*4</w:t>
            </w: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restart"/>
            <w:tcBorders>
              <w:top w:val="nil"/>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实践课</w:t>
            </w: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17</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电子商务客服、</w:t>
            </w:r>
          </w:p>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美工实战实训</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5307011450</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48</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48</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2W</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w:t>
            </w: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nil"/>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18</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岗位实习</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5307011360</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16.5</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260</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60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200</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13W</w:t>
            </w: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6</w:t>
            </w: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nil"/>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19</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毕业论文（毕业设计）</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5307011361</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6</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100</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70</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5W</w:t>
            </w: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6</w:t>
            </w:r>
          </w:p>
        </w:tc>
      </w:tr>
      <w:tr>
        <w:tblPrEx/>
        <w:trPr>
          <w:trHeight w:val="30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99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小计</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rPr>
                <w:rFonts w:ascii="Times New Roman" w:cs="宋体" w:eastAsia="宋体" w:hAnsi="Times New Roman" w:hint="eastAsia"/>
                <w:sz w:val="15"/>
                <w:szCs w:val="15"/>
              </w:rPr>
            </w:pPr>
            <w:r>
              <w:rPr>
                <w:rFonts w:ascii="Times New Roman" w:cs="宋体" w:eastAsia="宋体" w:hAnsi="Times New Roman" w:hint="eastAsia"/>
                <w:sz w:val="15"/>
                <w:szCs w:val="15"/>
              </w:rPr>
              <w:t>103.5</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1646</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709</w:t>
            </w:r>
          </w:p>
        </w:tc>
        <w:tc>
          <w:tcPr>
            <w:tcW w:w="443"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937</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8</w:t>
            </w: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22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16</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20</w:t>
            </w: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r>
      <w:tr>
        <w:tblPrEx/>
        <w:trPr>
          <w:trHeight w:val="480" w:hRule="atLeast"/>
          <w:jc w:val="center"/>
        </w:trPr>
        <w:tc>
          <w:tcPr>
            <w:tcW w:w="21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选修课</w:t>
            </w:r>
          </w:p>
        </w:tc>
        <w:tc>
          <w:tcPr>
            <w:tcW w:w="21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公共选修课</w:t>
            </w: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1</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人文素养类课程</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9999991550</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30</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15*2</w:t>
            </w:r>
          </w:p>
        </w:tc>
        <w:tc>
          <w:tcPr>
            <w:tcW w:w="29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15*2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34</w:t>
            </w: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2</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创新创业管理类课程</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9999991551</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30</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3</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科学素养类课程</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9999991552</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30</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r>
      <w:tr>
        <w:tblPrEx/>
        <w:trPr>
          <w:trHeight w:val="45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4</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信息素养类课程</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9999991553</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30</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r>
      <w:tr>
        <w:tblPrEx/>
        <w:trPr>
          <w:trHeight w:val="27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21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hint="eastAsia"/>
                <w:sz w:val="15"/>
                <w:szCs w:val="15"/>
              </w:rPr>
              <w:t>5</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美育类课程</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9999991560</w:t>
            </w:r>
          </w:p>
        </w:tc>
        <w:tc>
          <w:tcPr>
            <w:tcW w:w="24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72</w:t>
            </w:r>
          </w:p>
        </w:tc>
        <w:tc>
          <w:tcPr>
            <w:tcW w:w="286"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32</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40</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14*2</w:t>
            </w: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4*1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16*1</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15*2</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8*1</w:t>
            </w: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12345</w:t>
            </w:r>
          </w:p>
        </w:tc>
      </w:tr>
      <w:tr>
        <w:tblPrEx/>
        <w:trPr>
          <w:trHeight w:val="300" w:hRule="atLeast"/>
          <w:jc w:val="center"/>
        </w:trPr>
        <w:tc>
          <w:tcPr>
            <w:tcW w:w="213" w:type="pct"/>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99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小计</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13</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192</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152</w:t>
            </w:r>
          </w:p>
        </w:tc>
        <w:tc>
          <w:tcPr>
            <w:tcW w:w="443"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40</w:t>
            </w:r>
          </w:p>
        </w:tc>
        <w:tc>
          <w:tcPr>
            <w:tcW w:w="5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2</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　</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3</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4</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r>
      <w:tr>
        <w:tblPrEx/>
        <w:trPr>
          <w:trHeight w:val="300" w:hRule="atLeast"/>
          <w:jc w:val="center"/>
        </w:trPr>
        <w:tc>
          <w:tcPr>
            <w:tcW w:w="120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textAlignment w:val="center"/>
              <w:rPr>
                <w:rFonts w:ascii="Times New Roman" w:cs="宋体" w:eastAsia="宋体" w:hAnsi="Times New Roman"/>
                <w:sz w:val="15"/>
                <w:szCs w:val="15"/>
              </w:rPr>
            </w:pPr>
            <w:r>
              <w:rPr>
                <w:rFonts w:ascii="Times New Roman" w:cs="宋体" w:eastAsia="宋体" w:hAnsi="Times New Roman" w:hint="eastAsia"/>
                <w:kern w:val="0"/>
                <w:sz w:val="15"/>
                <w:szCs w:val="15"/>
              </w:rPr>
              <w:t>总计（周课时不含网络课程）</w:t>
            </w:r>
          </w:p>
        </w:tc>
        <w:tc>
          <w:tcPr>
            <w:tcW w:w="58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166</w:t>
            </w:r>
          </w:p>
        </w:tc>
        <w:tc>
          <w:tcPr>
            <w:tcW w:w="492"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2718</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1361</w:t>
            </w:r>
          </w:p>
        </w:tc>
        <w:tc>
          <w:tcPr>
            <w:tcW w:w="443" w:type="dxa"/>
            <w:tcBorders>
              <w:top w:val="single" w:sz="4" w:space="0" w:color="000000"/>
              <w:left w:val="single" w:sz="4" w:space="0" w:color="000000"/>
              <w:bottom w:val="single" w:sz="4" w:space="0" w:color="000000"/>
              <w:right w:val="single" w:sz="4" w:space="0" w:color="000000"/>
            </w:tcBorders>
            <w:shd w:val="clear" w:color="auto" w:fill="auto"/>
            <w:vAlign w:val="bottom"/>
          </w:tcPr>
          <w:p>
            <w:pPr>
              <w:pStyle w:val="style0"/>
              <w:widowControl/>
              <w:spacing w:lineRule="exact" w:line="200"/>
              <w:jc w:val="center"/>
              <w:textAlignment w:val="center"/>
              <w:rPr>
                <w:rFonts w:ascii="Times New Roman" w:cs="宋体" w:eastAsia="宋体" w:hAnsi="Times New Roman"/>
                <w:kern w:val="0"/>
                <w:sz w:val="15"/>
                <w:szCs w:val="15"/>
              </w:rPr>
            </w:pPr>
            <w:r>
              <w:rPr>
                <w:rFonts w:ascii="Times New Roman" w:cs="宋体" w:eastAsia="宋体" w:hAnsi="Times New Roman" w:hint="eastAsia"/>
                <w:kern w:val="0"/>
                <w:sz w:val="15"/>
                <w:szCs w:val="15"/>
              </w:rPr>
              <w:t>1357</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sz w:val="15"/>
                <w:szCs w:val="15"/>
                <w:lang w:val="en-US"/>
              </w:rPr>
              <w:t>25</w:t>
            </w: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sz w:val="15"/>
                <w:szCs w:val="15"/>
                <w:lang w:val="en-US"/>
              </w:rPr>
              <w:t>26.5</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sz w:val="15"/>
                <w:szCs w:val="15"/>
                <w:lang w:val="en-US"/>
              </w:rPr>
              <w:t>29.5</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sz w:val="15"/>
                <w:szCs w:val="15"/>
                <w:lang w:val="en-US"/>
              </w:rPr>
              <w:t>27.5</w:t>
            </w:r>
          </w:p>
        </w:tc>
        <w:tc>
          <w:tcPr>
            <w:tcW w:w="298"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r>
              <w:rPr>
                <w:rFonts w:ascii="Times New Roman" w:cs="宋体" w:eastAsia="宋体" w:hAnsi="Times New Roman"/>
                <w:sz w:val="15"/>
                <w:szCs w:val="15"/>
                <w:lang w:val="en-US"/>
              </w:rPr>
              <w:t>20</w:t>
            </w:r>
          </w:p>
        </w:tc>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spacing w:lineRule="exact" w:line="200"/>
              <w:jc w:val="center"/>
              <w:rPr>
                <w:rFonts w:ascii="Times New Roman" w:cs="宋体" w:eastAsia="宋体" w:hAnsi="Times New Roman"/>
                <w:sz w:val="15"/>
                <w:szCs w:val="15"/>
              </w:rPr>
            </w:pPr>
          </w:p>
        </w:tc>
      </w:tr>
    </w:tbl>
    <w:p>
      <w:pPr>
        <w:pStyle w:val="style0"/>
        <w:spacing w:lineRule="exact" w:line="400"/>
        <w:rPr>
          <w:rFonts w:ascii="Times New Roman" w:eastAsia="宋体" w:hAnsi="Times New Roman"/>
        </w:rPr>
      </w:pPr>
      <w:r>
        <w:rPr>
          <w:rFonts w:ascii="Times New Roman" w:eastAsia="宋体" w:hAnsi="Times New Roman" w:hint="eastAsia"/>
        </w:rPr>
        <w:t>注：1.本教学进程表中课程代码前带“Ｎ”的为本专业主干课程，带C的为创新创业课程。</w:t>
      </w:r>
    </w:p>
    <w:p>
      <w:pPr>
        <w:pStyle w:val="style0"/>
        <w:spacing w:lineRule="exact" w:line="400"/>
        <w:ind w:firstLine="420" w:firstLineChars="200"/>
        <w:rPr>
          <w:rFonts w:ascii="Times New Roman" w:eastAsia="宋体" w:hAnsi="Times New Roman"/>
        </w:rPr>
      </w:pPr>
      <w:r>
        <w:rPr>
          <w:rFonts w:ascii="Times New Roman" w:eastAsia="宋体" w:hAnsi="Times New Roman" w:hint="eastAsia"/>
        </w:rPr>
        <w:t>2.校内集中实训按24课时/周计，毕业设计（论文）按20课时/周计。</w:t>
      </w:r>
    </w:p>
    <w:p>
      <w:pPr>
        <w:pStyle w:val="style0"/>
        <w:spacing w:lineRule="exact" w:line="400"/>
        <w:ind w:firstLine="420" w:firstLineChars="200"/>
        <w:rPr>
          <w:rFonts w:ascii="Times New Roman" w:eastAsia="宋体" w:hAnsi="Times New Roman"/>
        </w:rPr>
      </w:pPr>
      <w:r>
        <w:rPr>
          <w:rFonts w:ascii="Times New Roman" w:eastAsia="宋体" w:hAnsi="Times New Roman" w:hint="eastAsia"/>
        </w:rPr>
        <w:t>（三）集中实践专业课程时间安排</w:t>
      </w:r>
    </w:p>
    <w:tbl>
      <w:tblPr>
        <w:tblStyle w:val="style105"/>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2"/>
        <w:gridCol w:w="1723"/>
        <w:gridCol w:w="900"/>
        <w:gridCol w:w="803"/>
        <w:gridCol w:w="1170"/>
        <w:gridCol w:w="962"/>
        <w:gridCol w:w="900"/>
        <w:gridCol w:w="1080"/>
        <w:gridCol w:w="1025"/>
      </w:tblGrid>
      <w:tr>
        <w:trPr>
          <w:jc w:val="center"/>
        </w:trPr>
        <w:tc>
          <w:tcPr>
            <w:tcW w:w="702" w:type="dxa"/>
            <w:vMerge w:val="restart"/>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序号</w:t>
            </w:r>
          </w:p>
        </w:tc>
        <w:tc>
          <w:tcPr>
            <w:tcW w:w="1723" w:type="dxa"/>
            <w:vMerge w:val="restart"/>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实训课程名称</w:t>
            </w:r>
          </w:p>
        </w:tc>
        <w:tc>
          <w:tcPr>
            <w:tcW w:w="900" w:type="dxa"/>
            <w:vMerge w:val="restart"/>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技能教学课时</w:t>
            </w:r>
          </w:p>
        </w:tc>
        <w:tc>
          <w:tcPr>
            <w:tcW w:w="5940" w:type="dxa"/>
            <w:gridSpan w:val="6"/>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按学年及学期分配</w:t>
            </w:r>
          </w:p>
        </w:tc>
      </w:tr>
      <w:tr>
        <w:tblPrEx/>
        <w:trPr>
          <w:jc w:val="center"/>
        </w:trPr>
        <w:tc>
          <w:tcPr>
            <w:tcW w:w="702" w:type="dxa"/>
            <w:vMerge w:val="continue"/>
            <w:tcBorders/>
            <w:vAlign w:val="center"/>
          </w:tcPr>
          <w:p>
            <w:pPr>
              <w:pStyle w:val="style0"/>
              <w:spacing w:lineRule="exact" w:line="360"/>
              <w:jc w:val="center"/>
              <w:rPr>
                <w:rFonts w:ascii="Times New Roman" w:eastAsia="宋体" w:hAnsi="Times New Roman"/>
                <w:b/>
                <w:sz w:val="18"/>
                <w:szCs w:val="18"/>
              </w:rPr>
            </w:pPr>
          </w:p>
        </w:tc>
        <w:tc>
          <w:tcPr>
            <w:tcW w:w="1723" w:type="dxa"/>
            <w:vMerge w:val="continue"/>
            <w:tcBorders/>
            <w:vAlign w:val="center"/>
          </w:tcPr>
          <w:p>
            <w:pPr>
              <w:pStyle w:val="style0"/>
              <w:spacing w:lineRule="exact" w:line="360"/>
              <w:jc w:val="center"/>
              <w:rPr>
                <w:rFonts w:ascii="Times New Roman" w:eastAsia="宋体" w:hAnsi="Times New Roman"/>
                <w:b/>
                <w:sz w:val="18"/>
                <w:szCs w:val="18"/>
              </w:rPr>
            </w:pPr>
          </w:p>
        </w:tc>
        <w:tc>
          <w:tcPr>
            <w:tcW w:w="900" w:type="dxa"/>
            <w:vMerge w:val="continue"/>
            <w:tcBorders/>
            <w:vAlign w:val="center"/>
          </w:tcPr>
          <w:p>
            <w:pPr>
              <w:pStyle w:val="style0"/>
              <w:spacing w:lineRule="exact" w:line="360"/>
              <w:jc w:val="center"/>
              <w:rPr>
                <w:rFonts w:ascii="Times New Roman" w:eastAsia="宋体" w:hAnsi="Times New Roman"/>
                <w:b/>
                <w:sz w:val="18"/>
                <w:szCs w:val="18"/>
              </w:rPr>
            </w:pPr>
          </w:p>
        </w:tc>
        <w:tc>
          <w:tcPr>
            <w:tcW w:w="803" w:type="dxa"/>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1学期</w:t>
            </w:r>
          </w:p>
        </w:tc>
        <w:tc>
          <w:tcPr>
            <w:tcW w:w="1170" w:type="dxa"/>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2学期</w:t>
            </w:r>
          </w:p>
        </w:tc>
        <w:tc>
          <w:tcPr>
            <w:tcW w:w="962" w:type="dxa"/>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3学期</w:t>
            </w:r>
          </w:p>
        </w:tc>
        <w:tc>
          <w:tcPr>
            <w:tcW w:w="900" w:type="dxa"/>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4学期</w:t>
            </w:r>
          </w:p>
        </w:tc>
        <w:tc>
          <w:tcPr>
            <w:tcW w:w="1080" w:type="dxa"/>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5学期</w:t>
            </w:r>
          </w:p>
        </w:tc>
        <w:tc>
          <w:tcPr>
            <w:tcW w:w="1025" w:type="dxa"/>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6学期</w:t>
            </w:r>
          </w:p>
        </w:tc>
      </w:tr>
      <w:tr>
        <w:tblPrEx/>
        <w:trPr>
          <w:trHeight w:val="363" w:hRule="atLeast"/>
          <w:jc w:val="center"/>
        </w:trPr>
        <w:tc>
          <w:tcPr>
            <w:tcW w:w="702" w:type="dxa"/>
            <w:tcBorders/>
            <w:vAlign w:val="center"/>
          </w:tcPr>
          <w:p>
            <w:pPr>
              <w:pStyle w:val="style0"/>
              <w:spacing w:lineRule="exact" w:line="360"/>
              <w:jc w:val="center"/>
              <w:rPr>
                <w:rFonts w:ascii="Times New Roman" w:eastAsia="宋体" w:hAnsi="Times New Roman" w:hint="eastAsia"/>
                <w:sz w:val="18"/>
                <w:szCs w:val="18"/>
              </w:rPr>
            </w:pPr>
            <w:r>
              <w:rPr>
                <w:rFonts w:ascii="Times New Roman" w:eastAsia="宋体" w:hAnsi="Times New Roman" w:hint="default"/>
                <w:sz w:val="18"/>
                <w:szCs w:val="18"/>
                <w:lang w:val="en-US"/>
              </w:rPr>
              <w:t>1</w:t>
            </w:r>
          </w:p>
        </w:tc>
        <w:tc>
          <w:tcPr>
            <w:tcW w:w="1723" w:type="dxa"/>
            <w:tcBorders/>
            <w:vAlign w:val="center"/>
          </w:tcPr>
          <w:p>
            <w:pPr>
              <w:pStyle w:val="style0"/>
              <w:spacing w:lineRule="exact" w:line="360"/>
              <w:jc w:val="center"/>
              <w:rPr>
                <w:rFonts w:ascii="宋体" w:eastAsia="宋体" w:hAnsi="宋体" w:hint="eastAsia"/>
                <w:sz w:val="18"/>
                <w:szCs w:val="18"/>
              </w:rPr>
            </w:pPr>
            <w:r>
              <w:rPr>
                <w:rFonts w:ascii="宋体" w:eastAsia="宋体" w:hAnsi="宋体" w:hint="default"/>
                <w:sz w:val="18"/>
                <w:szCs w:val="18"/>
                <w:lang w:val="en-US"/>
              </w:rPr>
              <w:t>电子商务客服、美工实战实训</w:t>
            </w:r>
          </w:p>
        </w:tc>
        <w:tc>
          <w:tcPr>
            <w:tcW w:w="900" w:type="dxa"/>
            <w:tcBorders/>
            <w:vAlign w:val="center"/>
          </w:tcPr>
          <w:p>
            <w:pPr>
              <w:pStyle w:val="style0"/>
              <w:spacing w:lineRule="exact" w:line="360"/>
              <w:jc w:val="center"/>
              <w:rPr>
                <w:rFonts w:ascii="宋体" w:eastAsia="宋体" w:hAnsi="宋体"/>
                <w:sz w:val="18"/>
                <w:szCs w:val="18"/>
              </w:rPr>
            </w:pPr>
            <w:r>
              <w:rPr>
                <w:rFonts w:ascii="宋体" w:eastAsia="宋体" w:hAnsi="宋体"/>
                <w:sz w:val="18"/>
                <w:szCs w:val="18"/>
                <w:lang w:val="en-US"/>
              </w:rPr>
              <w:t>48</w:t>
            </w:r>
          </w:p>
        </w:tc>
        <w:tc>
          <w:tcPr>
            <w:tcW w:w="803"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1170"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962" w:type="dxa"/>
            <w:tcBorders/>
            <w:vAlign w:val="center"/>
          </w:tcPr>
          <w:p>
            <w:pPr>
              <w:pStyle w:val="style82"/>
              <w:tabs>
                <w:tab w:val="clear" w:pos="945"/>
              </w:tabs>
              <w:ind w:firstLine="0" w:firstLineChars="0"/>
              <w:jc w:val="center"/>
              <w:rPr>
                <w:rFonts w:ascii="宋体" w:eastAsia="宋体" w:hAnsi="宋体"/>
                <w:sz w:val="18"/>
                <w:szCs w:val="18"/>
              </w:rPr>
            </w:pPr>
            <w:r>
              <w:rPr>
                <w:rFonts w:ascii="宋体" w:eastAsia="宋体" w:hAnsi="宋体"/>
                <w:sz w:val="18"/>
                <w:szCs w:val="18"/>
                <w:lang w:val="en-US"/>
              </w:rPr>
              <w:t>48</w:t>
            </w:r>
          </w:p>
        </w:tc>
        <w:tc>
          <w:tcPr>
            <w:tcW w:w="900"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1080"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1025" w:type="dxa"/>
            <w:tcBorders/>
            <w:vAlign w:val="center"/>
          </w:tcPr>
          <w:p>
            <w:pPr>
              <w:pStyle w:val="style82"/>
              <w:tabs>
                <w:tab w:val="clear" w:pos="945"/>
              </w:tabs>
              <w:ind w:firstLine="0" w:firstLineChars="0"/>
              <w:jc w:val="center"/>
              <w:rPr>
                <w:rFonts w:ascii="Times New Roman" w:eastAsia="宋体" w:hAnsi="Times New Roman"/>
                <w:sz w:val="18"/>
                <w:szCs w:val="18"/>
              </w:rPr>
            </w:pPr>
          </w:p>
        </w:tc>
      </w:tr>
      <w:tr>
        <w:tblPrEx/>
        <w:trPr>
          <w:trHeight w:val="363" w:hRule="atLeast"/>
          <w:jc w:val="center"/>
        </w:trPr>
        <w:tc>
          <w:tcPr>
            <w:tcW w:w="702" w:type="dxa"/>
            <w:tcBorders/>
            <w:vAlign w:val="center"/>
          </w:tcPr>
          <w:p>
            <w:pPr>
              <w:pStyle w:val="style0"/>
              <w:spacing w:lineRule="exact" w:line="360"/>
              <w:jc w:val="center"/>
              <w:rPr>
                <w:rFonts w:ascii="Times New Roman" w:eastAsia="宋体" w:hAnsi="Times New Roman" w:hint="eastAsia"/>
                <w:sz w:val="18"/>
                <w:szCs w:val="18"/>
              </w:rPr>
            </w:pPr>
            <w:r>
              <w:rPr>
                <w:rFonts w:ascii="Times New Roman" w:eastAsia="宋体" w:hAnsi="Times New Roman" w:hint="default"/>
                <w:sz w:val="18"/>
                <w:szCs w:val="18"/>
                <w:lang w:val="en-US"/>
              </w:rPr>
              <w:t>2</w:t>
            </w:r>
          </w:p>
        </w:tc>
        <w:tc>
          <w:tcPr>
            <w:tcW w:w="1723" w:type="dxa"/>
            <w:tcBorders/>
            <w:vAlign w:val="center"/>
          </w:tcPr>
          <w:p>
            <w:pPr>
              <w:pStyle w:val="style0"/>
              <w:spacing w:lineRule="exact" w:line="360"/>
              <w:jc w:val="center"/>
              <w:rPr>
                <w:rFonts w:ascii="宋体" w:eastAsia="宋体" w:hAnsi="宋体" w:hint="eastAsia"/>
                <w:sz w:val="18"/>
                <w:szCs w:val="18"/>
              </w:rPr>
            </w:pPr>
            <w:r>
              <w:rPr>
                <w:rFonts w:ascii="宋体" w:eastAsia="宋体" w:hAnsi="宋体" w:hint="default"/>
                <w:sz w:val="18"/>
                <w:szCs w:val="18"/>
                <w:lang w:val="en-US"/>
              </w:rPr>
              <w:t>岗位实习</w:t>
            </w:r>
          </w:p>
        </w:tc>
        <w:tc>
          <w:tcPr>
            <w:tcW w:w="900" w:type="dxa"/>
            <w:tcBorders/>
            <w:vAlign w:val="center"/>
          </w:tcPr>
          <w:p>
            <w:pPr>
              <w:pStyle w:val="style0"/>
              <w:spacing w:lineRule="exact" w:line="360"/>
              <w:jc w:val="center"/>
              <w:rPr>
                <w:rFonts w:ascii="宋体" w:eastAsia="宋体" w:hAnsi="宋体"/>
                <w:sz w:val="18"/>
                <w:szCs w:val="18"/>
              </w:rPr>
            </w:pPr>
            <w:r>
              <w:rPr>
                <w:rFonts w:ascii="宋体" w:eastAsia="宋体" w:hAnsi="宋体"/>
                <w:sz w:val="18"/>
                <w:szCs w:val="18"/>
                <w:lang w:val="en-US"/>
              </w:rPr>
              <w:t>260</w:t>
            </w:r>
          </w:p>
        </w:tc>
        <w:tc>
          <w:tcPr>
            <w:tcW w:w="803"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1170"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962" w:type="dxa"/>
            <w:tcBorders/>
            <w:vAlign w:val="center"/>
          </w:tcPr>
          <w:p>
            <w:pPr>
              <w:pStyle w:val="style82"/>
              <w:tabs>
                <w:tab w:val="clear" w:pos="945"/>
              </w:tabs>
              <w:ind w:firstLine="0" w:firstLineChars="0"/>
              <w:jc w:val="center"/>
              <w:rPr>
                <w:rFonts w:ascii="宋体" w:eastAsia="宋体" w:hAnsi="宋体"/>
                <w:sz w:val="18"/>
                <w:szCs w:val="18"/>
              </w:rPr>
            </w:pPr>
          </w:p>
        </w:tc>
        <w:tc>
          <w:tcPr>
            <w:tcW w:w="900"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1080"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1025" w:type="dxa"/>
            <w:tcBorders/>
            <w:vAlign w:val="center"/>
          </w:tcPr>
          <w:p>
            <w:pPr>
              <w:pStyle w:val="style82"/>
              <w:tabs>
                <w:tab w:val="clear" w:pos="945"/>
              </w:tabs>
              <w:ind w:firstLine="0" w:firstLineChars="0"/>
              <w:jc w:val="center"/>
              <w:rPr>
                <w:rFonts w:ascii="Times New Roman" w:eastAsia="宋体" w:hAnsi="Times New Roman"/>
                <w:sz w:val="18"/>
                <w:szCs w:val="18"/>
              </w:rPr>
            </w:pPr>
            <w:r>
              <w:rPr>
                <w:rFonts w:ascii="Times New Roman" w:eastAsia="宋体" w:hAnsi="Times New Roman"/>
                <w:sz w:val="18"/>
                <w:szCs w:val="18"/>
                <w:lang w:val="en-US"/>
              </w:rPr>
              <w:t>260</w:t>
            </w:r>
          </w:p>
        </w:tc>
      </w:tr>
      <w:tr>
        <w:tblPrEx/>
        <w:trPr>
          <w:trHeight w:val="363" w:hRule="atLeast"/>
          <w:jc w:val="center"/>
        </w:trPr>
        <w:tc>
          <w:tcPr>
            <w:tcW w:w="702" w:type="dxa"/>
            <w:tcBorders/>
            <w:vAlign w:val="center"/>
          </w:tcPr>
          <w:p>
            <w:pPr>
              <w:pStyle w:val="style0"/>
              <w:spacing w:lineRule="exact" w:line="360"/>
              <w:jc w:val="center"/>
              <w:rPr>
                <w:rFonts w:ascii="Times New Roman" w:eastAsia="宋体" w:hAnsi="Times New Roman"/>
                <w:sz w:val="18"/>
                <w:szCs w:val="18"/>
              </w:rPr>
            </w:pPr>
            <w:r>
              <w:rPr>
                <w:rFonts w:ascii="Times New Roman" w:eastAsia="宋体" w:hAnsi="Times New Roman"/>
                <w:sz w:val="18"/>
                <w:szCs w:val="18"/>
                <w:lang w:val="en-US"/>
              </w:rPr>
              <w:t>3</w:t>
            </w:r>
          </w:p>
        </w:tc>
        <w:tc>
          <w:tcPr>
            <w:tcW w:w="1723" w:type="dxa"/>
            <w:tcBorders/>
            <w:vAlign w:val="center"/>
          </w:tcPr>
          <w:p>
            <w:pPr>
              <w:pStyle w:val="style0"/>
              <w:spacing w:lineRule="exact" w:line="360"/>
              <w:jc w:val="center"/>
              <w:rPr>
                <w:rFonts w:ascii="Times New Roman" w:eastAsia="宋体" w:hAnsi="Times New Roman"/>
                <w:sz w:val="18"/>
                <w:szCs w:val="18"/>
              </w:rPr>
            </w:pPr>
            <w:r>
              <w:rPr>
                <w:rFonts w:ascii="Times New Roman" w:eastAsia="宋体" w:hAnsi="Times New Roman"/>
                <w:sz w:val="18"/>
                <w:szCs w:val="18"/>
                <w:lang w:val="en-US"/>
              </w:rPr>
              <w:t>毕业论文（毕业设计）</w:t>
            </w:r>
          </w:p>
        </w:tc>
        <w:tc>
          <w:tcPr>
            <w:tcW w:w="900" w:type="dxa"/>
            <w:tcBorders/>
            <w:vAlign w:val="center"/>
          </w:tcPr>
          <w:p>
            <w:pPr>
              <w:pStyle w:val="style0"/>
              <w:spacing w:lineRule="exact" w:line="360"/>
              <w:jc w:val="center"/>
              <w:rPr>
                <w:rFonts w:ascii="Times New Roman" w:eastAsia="宋体" w:hAnsi="Times New Roman"/>
                <w:sz w:val="18"/>
                <w:szCs w:val="18"/>
              </w:rPr>
            </w:pPr>
            <w:r>
              <w:rPr>
                <w:rFonts w:ascii="Times New Roman" w:eastAsia="宋体" w:hAnsi="Times New Roman"/>
                <w:sz w:val="18"/>
                <w:szCs w:val="18"/>
                <w:lang w:val="en-US"/>
              </w:rPr>
              <w:t>100</w:t>
            </w:r>
          </w:p>
        </w:tc>
        <w:tc>
          <w:tcPr>
            <w:tcW w:w="803"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1170"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962"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900"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1080"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1025" w:type="dxa"/>
            <w:tcBorders/>
            <w:vAlign w:val="center"/>
          </w:tcPr>
          <w:p>
            <w:pPr>
              <w:pStyle w:val="style82"/>
              <w:tabs>
                <w:tab w:val="clear" w:pos="945"/>
              </w:tabs>
              <w:ind w:firstLine="0" w:firstLineChars="0"/>
              <w:jc w:val="center"/>
              <w:rPr>
                <w:rFonts w:ascii="Times New Roman" w:eastAsia="宋体" w:hAnsi="Times New Roman"/>
                <w:sz w:val="18"/>
                <w:szCs w:val="18"/>
              </w:rPr>
            </w:pPr>
            <w:r>
              <w:rPr>
                <w:rFonts w:ascii="Times New Roman" w:eastAsia="宋体" w:hAnsi="Times New Roman"/>
                <w:sz w:val="18"/>
                <w:szCs w:val="18"/>
                <w:lang w:val="en-US"/>
              </w:rPr>
              <w:t>100</w:t>
            </w:r>
          </w:p>
        </w:tc>
      </w:tr>
      <w:tr>
        <w:tblPrEx/>
        <w:trPr>
          <w:trHeight w:val="304" w:hRule="atLeast"/>
          <w:jc w:val="center"/>
        </w:trPr>
        <w:tc>
          <w:tcPr>
            <w:tcW w:w="2425" w:type="dxa"/>
            <w:gridSpan w:val="2"/>
            <w:tcBorders/>
            <w:vAlign w:val="center"/>
          </w:tcPr>
          <w:p>
            <w:pPr>
              <w:pStyle w:val="style0"/>
              <w:spacing w:lineRule="exact" w:line="360"/>
              <w:jc w:val="center"/>
              <w:rPr>
                <w:rFonts w:ascii="Times New Roman" w:eastAsia="宋体" w:hAnsi="Times New Roman"/>
                <w:sz w:val="18"/>
                <w:szCs w:val="18"/>
              </w:rPr>
            </w:pPr>
            <w:r>
              <w:rPr>
                <w:rFonts w:ascii="Times New Roman" w:eastAsia="宋体" w:hAnsi="Times New Roman" w:hint="eastAsia"/>
                <w:sz w:val="18"/>
                <w:szCs w:val="18"/>
              </w:rPr>
              <w:t>合计</w:t>
            </w:r>
          </w:p>
        </w:tc>
        <w:tc>
          <w:tcPr>
            <w:tcW w:w="900" w:type="dxa"/>
            <w:tcBorders/>
            <w:vAlign w:val="center"/>
          </w:tcPr>
          <w:p>
            <w:pPr>
              <w:pStyle w:val="style82"/>
              <w:tabs>
                <w:tab w:val="clear" w:pos="945"/>
              </w:tabs>
              <w:ind w:firstLine="0" w:firstLineChars="0"/>
              <w:jc w:val="center"/>
              <w:rPr>
                <w:rFonts w:ascii="宋体" w:cs="宋体" w:eastAsia="宋体" w:hAnsi="宋体"/>
                <w:sz w:val="18"/>
                <w:szCs w:val="18"/>
              </w:rPr>
            </w:pPr>
            <w:r>
              <w:rPr>
                <w:rFonts w:ascii="宋体" w:cs="宋体" w:eastAsia="宋体" w:hAnsi="宋体" w:hint="eastAsia"/>
                <w:sz w:val="18"/>
                <w:szCs w:val="18"/>
              </w:rPr>
              <w:t>4</w:t>
            </w:r>
            <w:r>
              <w:rPr>
                <w:rFonts w:ascii="宋体" w:cs="宋体" w:eastAsia="宋体" w:hAnsi="宋体" w:hint="default"/>
                <w:sz w:val="18"/>
                <w:szCs w:val="18"/>
                <w:lang w:val="en-US"/>
              </w:rPr>
              <w:t>08</w:t>
            </w:r>
          </w:p>
        </w:tc>
        <w:tc>
          <w:tcPr>
            <w:tcW w:w="803" w:type="dxa"/>
            <w:tcBorders/>
            <w:vAlign w:val="center"/>
          </w:tcPr>
          <w:p>
            <w:pPr>
              <w:pStyle w:val="style82"/>
              <w:tabs>
                <w:tab w:val="clear" w:pos="945"/>
              </w:tabs>
              <w:ind w:firstLine="0" w:firstLineChars="0"/>
              <w:jc w:val="center"/>
              <w:rPr>
                <w:rFonts w:ascii="宋体" w:cs="宋体" w:eastAsia="宋体" w:hAnsi="宋体"/>
                <w:sz w:val="18"/>
                <w:szCs w:val="18"/>
              </w:rPr>
            </w:pPr>
          </w:p>
        </w:tc>
        <w:tc>
          <w:tcPr>
            <w:tcW w:w="1170" w:type="dxa"/>
            <w:tcBorders/>
            <w:vAlign w:val="center"/>
          </w:tcPr>
          <w:p>
            <w:pPr>
              <w:pStyle w:val="style82"/>
              <w:tabs>
                <w:tab w:val="clear" w:pos="945"/>
              </w:tabs>
              <w:ind w:firstLine="0" w:firstLineChars="0"/>
              <w:jc w:val="center"/>
              <w:rPr>
                <w:rFonts w:ascii="宋体" w:cs="宋体" w:eastAsia="宋体" w:hAnsi="宋体"/>
                <w:sz w:val="18"/>
                <w:szCs w:val="18"/>
              </w:rPr>
            </w:pPr>
          </w:p>
        </w:tc>
        <w:tc>
          <w:tcPr>
            <w:tcW w:w="962" w:type="dxa"/>
            <w:tcBorders/>
            <w:vAlign w:val="center"/>
          </w:tcPr>
          <w:p>
            <w:pPr>
              <w:pStyle w:val="style82"/>
              <w:tabs>
                <w:tab w:val="clear" w:pos="945"/>
              </w:tabs>
              <w:ind w:firstLine="0" w:firstLineChars="0"/>
              <w:jc w:val="center"/>
              <w:rPr>
                <w:rFonts w:ascii="宋体" w:cs="宋体" w:eastAsia="宋体" w:hAnsi="宋体"/>
                <w:sz w:val="18"/>
                <w:szCs w:val="18"/>
              </w:rPr>
            </w:pPr>
            <w:r>
              <w:rPr>
                <w:rFonts w:ascii="宋体" w:cs="宋体" w:eastAsia="宋体" w:hAnsi="宋体" w:hint="eastAsia"/>
                <w:sz w:val="18"/>
                <w:szCs w:val="18"/>
              </w:rPr>
              <w:t>48</w:t>
            </w:r>
          </w:p>
        </w:tc>
        <w:tc>
          <w:tcPr>
            <w:tcW w:w="900"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1080" w:type="dxa"/>
            <w:tcBorders/>
            <w:vAlign w:val="center"/>
          </w:tcPr>
          <w:p>
            <w:pPr>
              <w:pStyle w:val="style82"/>
              <w:tabs>
                <w:tab w:val="clear" w:pos="945"/>
              </w:tabs>
              <w:ind w:firstLine="0" w:firstLineChars="0"/>
              <w:jc w:val="center"/>
              <w:rPr>
                <w:rFonts w:ascii="Times New Roman" w:eastAsia="宋体" w:hAnsi="Times New Roman"/>
                <w:sz w:val="18"/>
                <w:szCs w:val="18"/>
              </w:rPr>
            </w:pPr>
          </w:p>
        </w:tc>
        <w:tc>
          <w:tcPr>
            <w:tcW w:w="1025" w:type="dxa"/>
            <w:tcBorders/>
            <w:vAlign w:val="center"/>
          </w:tcPr>
          <w:p>
            <w:pPr>
              <w:pStyle w:val="style82"/>
              <w:tabs>
                <w:tab w:val="clear" w:pos="945"/>
              </w:tabs>
              <w:ind w:firstLine="0" w:firstLineChars="0"/>
              <w:jc w:val="center"/>
              <w:rPr>
                <w:rFonts w:ascii="Times New Roman" w:eastAsia="宋体" w:hAnsi="Times New Roman"/>
                <w:sz w:val="18"/>
                <w:szCs w:val="18"/>
              </w:rPr>
            </w:pPr>
            <w:r>
              <w:rPr>
                <w:rFonts w:ascii="Times New Roman" w:eastAsia="宋体" w:hAnsi="Times New Roman"/>
                <w:sz w:val="18"/>
                <w:szCs w:val="18"/>
                <w:lang w:val="en-US"/>
              </w:rPr>
              <w:t>360</w:t>
            </w:r>
          </w:p>
        </w:tc>
      </w:tr>
    </w:tbl>
    <w:p>
      <w:pPr>
        <w:pStyle w:val="style0"/>
        <w:spacing w:lineRule="exact" w:line="400"/>
        <w:ind w:firstLine="420" w:firstLineChars="200"/>
        <w:rPr>
          <w:rFonts w:ascii="Times New Roman" w:eastAsia="宋体" w:hAnsi="Times New Roman"/>
        </w:rPr>
      </w:pPr>
      <w:r>
        <w:rPr>
          <w:rFonts w:ascii="Times New Roman" w:eastAsia="宋体" w:hAnsi="Times New Roman" w:hint="eastAsia"/>
        </w:rPr>
        <w:t>（四）课程结构比例表</w:t>
      </w:r>
    </w:p>
    <w:tbl>
      <w:tblPr>
        <w:tblStyle w:val="style105"/>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124"/>
        <w:gridCol w:w="1780"/>
        <w:gridCol w:w="1780"/>
        <w:gridCol w:w="1780"/>
        <w:gridCol w:w="1778"/>
      </w:tblGrid>
      <w:tr>
        <w:trPr>
          <w:cantSplit/>
          <w:jc w:val="center"/>
        </w:trPr>
        <w:tc>
          <w:tcPr>
            <w:tcW w:w="2124" w:type="dxa"/>
            <w:vMerge w:val="restart"/>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课程类型</w:t>
            </w:r>
          </w:p>
        </w:tc>
        <w:tc>
          <w:tcPr>
            <w:tcW w:w="7118" w:type="dxa"/>
            <w:gridSpan w:val="4"/>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课时分配及比例</w:t>
            </w:r>
          </w:p>
        </w:tc>
      </w:tr>
      <w:tr>
        <w:tblPrEx/>
        <w:trPr>
          <w:cantSplit/>
          <w:jc w:val="center"/>
        </w:trPr>
        <w:tc>
          <w:tcPr>
            <w:tcW w:w="2124" w:type="dxa"/>
            <w:vMerge w:val="continue"/>
            <w:tcBorders/>
            <w:vAlign w:val="center"/>
          </w:tcPr>
          <w:p>
            <w:pPr>
              <w:pStyle w:val="style0"/>
              <w:spacing w:lineRule="exact" w:line="360"/>
              <w:jc w:val="center"/>
              <w:rPr>
                <w:rFonts w:ascii="Times New Roman" w:eastAsia="宋体" w:hAnsi="Times New Roman"/>
                <w:b/>
                <w:sz w:val="18"/>
                <w:szCs w:val="18"/>
              </w:rPr>
            </w:pPr>
          </w:p>
        </w:tc>
        <w:tc>
          <w:tcPr>
            <w:tcW w:w="1780" w:type="dxa"/>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理论</w:t>
            </w:r>
          </w:p>
        </w:tc>
        <w:tc>
          <w:tcPr>
            <w:tcW w:w="1780" w:type="dxa"/>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实践</w:t>
            </w:r>
          </w:p>
        </w:tc>
        <w:tc>
          <w:tcPr>
            <w:tcW w:w="1780" w:type="dxa"/>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合计</w:t>
            </w:r>
          </w:p>
        </w:tc>
        <w:tc>
          <w:tcPr>
            <w:tcW w:w="1778" w:type="dxa"/>
            <w:tcBorders/>
            <w:vAlign w:val="center"/>
          </w:tcPr>
          <w:p>
            <w:pPr>
              <w:pStyle w:val="style0"/>
              <w:spacing w:lineRule="exact" w:line="360"/>
              <w:jc w:val="center"/>
              <w:rPr>
                <w:rFonts w:ascii="Times New Roman" w:eastAsia="宋体" w:hAnsi="Times New Roman"/>
                <w:b/>
                <w:sz w:val="18"/>
                <w:szCs w:val="18"/>
              </w:rPr>
            </w:pPr>
            <w:r>
              <w:rPr>
                <w:rFonts w:ascii="Times New Roman" w:eastAsia="宋体" w:hAnsi="Times New Roman" w:hint="eastAsia"/>
                <w:b/>
                <w:sz w:val="18"/>
                <w:szCs w:val="18"/>
              </w:rPr>
              <w:t>比例</w:t>
            </w:r>
          </w:p>
        </w:tc>
      </w:tr>
      <w:tr>
        <w:tblPrEx/>
        <w:trPr>
          <w:jc w:val="center"/>
        </w:trPr>
        <w:tc>
          <w:tcPr>
            <w:tcW w:w="2124" w:type="dxa"/>
            <w:tcBorders/>
            <w:vAlign w:val="center"/>
          </w:tcPr>
          <w:p>
            <w:pPr>
              <w:pStyle w:val="style0"/>
              <w:spacing w:lineRule="exact" w:line="360"/>
              <w:jc w:val="center"/>
              <w:rPr>
                <w:rFonts w:ascii="Times New Roman" w:eastAsia="宋体" w:hAnsi="Times New Roman"/>
                <w:sz w:val="18"/>
                <w:szCs w:val="18"/>
              </w:rPr>
            </w:pPr>
            <w:r>
              <w:rPr>
                <w:rFonts w:ascii="Times New Roman" w:eastAsia="宋体" w:hAnsi="Times New Roman" w:hint="eastAsia"/>
                <w:sz w:val="18"/>
                <w:szCs w:val="18"/>
              </w:rPr>
              <w:t>公共基础课</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500</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380</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880</w:t>
            </w:r>
          </w:p>
        </w:tc>
        <w:tc>
          <w:tcPr>
            <w:tcW w:w="1778"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32%</w:t>
            </w:r>
          </w:p>
        </w:tc>
      </w:tr>
      <w:tr>
        <w:tblPrEx/>
        <w:trPr>
          <w:jc w:val="center"/>
        </w:trPr>
        <w:tc>
          <w:tcPr>
            <w:tcW w:w="2124" w:type="dxa"/>
            <w:tcBorders/>
            <w:vAlign w:val="center"/>
          </w:tcPr>
          <w:p>
            <w:pPr>
              <w:pStyle w:val="style0"/>
              <w:spacing w:lineRule="exact" w:line="360"/>
              <w:jc w:val="center"/>
              <w:rPr>
                <w:rFonts w:ascii="Times New Roman" w:eastAsia="宋体" w:hAnsi="Times New Roman"/>
                <w:sz w:val="18"/>
                <w:szCs w:val="18"/>
              </w:rPr>
            </w:pPr>
            <w:r>
              <w:rPr>
                <w:rFonts w:ascii="Times New Roman" w:eastAsia="宋体" w:hAnsi="Times New Roman" w:hint="eastAsia"/>
                <w:sz w:val="18"/>
                <w:szCs w:val="18"/>
              </w:rPr>
              <w:t>专业基础课</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92</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92</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184</w:t>
            </w:r>
          </w:p>
        </w:tc>
        <w:tc>
          <w:tcPr>
            <w:tcW w:w="1778"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7%</w:t>
            </w:r>
          </w:p>
        </w:tc>
      </w:tr>
      <w:tr>
        <w:tblPrEx/>
        <w:trPr>
          <w:jc w:val="center"/>
        </w:trPr>
        <w:tc>
          <w:tcPr>
            <w:tcW w:w="2124" w:type="dxa"/>
            <w:tcBorders/>
            <w:vAlign w:val="center"/>
          </w:tcPr>
          <w:p>
            <w:pPr>
              <w:pStyle w:val="style0"/>
              <w:spacing w:lineRule="exact" w:line="360"/>
              <w:jc w:val="center"/>
              <w:rPr>
                <w:rFonts w:ascii="Times New Roman" w:eastAsia="宋体" w:hAnsi="Times New Roman"/>
                <w:sz w:val="18"/>
                <w:szCs w:val="18"/>
              </w:rPr>
            </w:pPr>
            <w:r>
              <w:rPr>
                <w:rFonts w:ascii="Times New Roman" w:eastAsia="宋体" w:hAnsi="Times New Roman" w:hint="eastAsia"/>
                <w:sz w:val="18"/>
                <w:szCs w:val="18"/>
              </w:rPr>
              <w:t>专业核心课</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527</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527</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1054</w:t>
            </w:r>
          </w:p>
        </w:tc>
        <w:tc>
          <w:tcPr>
            <w:tcW w:w="1778"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39%</w:t>
            </w:r>
          </w:p>
        </w:tc>
      </w:tr>
      <w:tr>
        <w:tblPrEx/>
        <w:trPr>
          <w:jc w:val="center"/>
        </w:trPr>
        <w:tc>
          <w:tcPr>
            <w:tcW w:w="2124" w:type="dxa"/>
            <w:tcBorders/>
            <w:vAlign w:val="center"/>
          </w:tcPr>
          <w:p>
            <w:pPr>
              <w:pStyle w:val="style0"/>
              <w:spacing w:lineRule="exact" w:line="360"/>
              <w:jc w:val="center"/>
              <w:rPr>
                <w:rFonts w:ascii="Times New Roman" w:eastAsia="宋体" w:hAnsi="Times New Roman"/>
                <w:sz w:val="18"/>
                <w:szCs w:val="18"/>
              </w:rPr>
            </w:pPr>
            <w:r>
              <w:rPr>
                <w:rFonts w:ascii="Times New Roman" w:eastAsia="宋体" w:hAnsi="Times New Roman" w:hint="eastAsia"/>
                <w:sz w:val="18"/>
                <w:szCs w:val="18"/>
              </w:rPr>
              <w:t>实践课</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90</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318</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408</w:t>
            </w:r>
          </w:p>
        </w:tc>
        <w:tc>
          <w:tcPr>
            <w:tcW w:w="1778"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15%</w:t>
            </w:r>
          </w:p>
        </w:tc>
      </w:tr>
      <w:tr>
        <w:tblPrEx/>
        <w:trPr>
          <w:jc w:val="center"/>
        </w:trPr>
        <w:tc>
          <w:tcPr>
            <w:tcW w:w="2124" w:type="dxa"/>
            <w:tcBorders/>
            <w:vAlign w:val="center"/>
          </w:tcPr>
          <w:p>
            <w:pPr>
              <w:pStyle w:val="style0"/>
              <w:spacing w:lineRule="exact" w:line="360"/>
              <w:jc w:val="center"/>
              <w:rPr>
                <w:rFonts w:ascii="Times New Roman" w:eastAsia="宋体" w:hAnsi="Times New Roman"/>
                <w:sz w:val="18"/>
                <w:szCs w:val="18"/>
              </w:rPr>
            </w:pPr>
            <w:r>
              <w:rPr>
                <w:rFonts w:ascii="Times New Roman" w:eastAsia="宋体" w:hAnsi="Times New Roman" w:hint="eastAsia"/>
                <w:sz w:val="18"/>
                <w:szCs w:val="18"/>
              </w:rPr>
              <w:t>公共选修课</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152</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40</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192</w:t>
            </w:r>
          </w:p>
        </w:tc>
        <w:tc>
          <w:tcPr>
            <w:tcW w:w="1778"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7%</w:t>
            </w:r>
          </w:p>
        </w:tc>
      </w:tr>
      <w:tr>
        <w:tblPrEx/>
        <w:trPr>
          <w:jc w:val="center"/>
        </w:trPr>
        <w:tc>
          <w:tcPr>
            <w:tcW w:w="2124" w:type="dxa"/>
            <w:tcBorders/>
            <w:vAlign w:val="center"/>
          </w:tcPr>
          <w:p>
            <w:pPr>
              <w:pStyle w:val="style0"/>
              <w:spacing w:lineRule="exact" w:line="360"/>
              <w:jc w:val="center"/>
              <w:rPr>
                <w:rFonts w:ascii="Times New Roman" w:eastAsia="宋体" w:hAnsi="Times New Roman"/>
                <w:sz w:val="18"/>
                <w:szCs w:val="18"/>
              </w:rPr>
            </w:pPr>
            <w:r>
              <w:rPr>
                <w:rFonts w:ascii="Times New Roman" w:eastAsia="宋体" w:hAnsi="Times New Roman" w:hint="eastAsia"/>
                <w:sz w:val="18"/>
                <w:szCs w:val="18"/>
              </w:rPr>
              <w:t>合计</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1361</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1357</w:t>
            </w:r>
          </w:p>
        </w:tc>
        <w:tc>
          <w:tcPr>
            <w:tcW w:w="1780"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2718</w:t>
            </w:r>
          </w:p>
        </w:tc>
        <w:tc>
          <w:tcPr>
            <w:tcW w:w="1778" w:type="dxa"/>
            <w:tcBorders/>
            <w:vAlign w:val="bottom"/>
          </w:tcPr>
          <w:p>
            <w:pPr>
              <w:pStyle w:val="style0"/>
              <w:widowControl/>
              <w:jc w:val="center"/>
              <w:textAlignment w:val="bottom"/>
              <w:rPr>
                <w:rFonts w:ascii="宋体" w:cs="宋体" w:eastAsia="宋体" w:hAnsi="宋体"/>
                <w:sz w:val="18"/>
                <w:szCs w:val="18"/>
              </w:rPr>
            </w:pPr>
            <w:r>
              <w:rPr>
                <w:rFonts w:ascii="宋体" w:cs="宋体" w:eastAsia="宋体" w:hAnsi="宋体" w:hint="eastAsia"/>
                <w:color w:val="000000"/>
                <w:kern w:val="0"/>
                <w:sz w:val="18"/>
                <w:szCs w:val="18"/>
              </w:rPr>
              <w:t>100%</w:t>
            </w:r>
          </w:p>
        </w:tc>
      </w:tr>
      <w:tr>
        <w:tblPrEx/>
        <w:trPr>
          <w:jc w:val="center"/>
        </w:trPr>
        <w:tc>
          <w:tcPr>
            <w:tcW w:w="2124" w:type="dxa"/>
            <w:tcBorders/>
            <w:vAlign w:val="center"/>
          </w:tcPr>
          <w:p>
            <w:pPr>
              <w:pStyle w:val="style0"/>
              <w:spacing w:lineRule="exact" w:line="360"/>
              <w:jc w:val="center"/>
              <w:rPr>
                <w:rFonts w:ascii="Times New Roman" w:eastAsia="宋体" w:hAnsi="Times New Roman"/>
                <w:sz w:val="18"/>
                <w:szCs w:val="18"/>
              </w:rPr>
            </w:pPr>
            <w:r>
              <w:rPr>
                <w:rFonts w:ascii="Times New Roman" w:eastAsia="宋体" w:hAnsi="Times New Roman" w:hint="eastAsia"/>
                <w:sz w:val="18"/>
                <w:szCs w:val="18"/>
              </w:rPr>
              <w:t>比例</w:t>
            </w:r>
          </w:p>
        </w:tc>
        <w:tc>
          <w:tcPr>
            <w:tcW w:w="1780" w:type="dxa"/>
            <w:tcBorders/>
          </w:tcPr>
          <w:p>
            <w:pPr>
              <w:pStyle w:val="style0"/>
              <w:widowControl/>
              <w:jc w:val="center"/>
              <w:textAlignment w:val="top"/>
              <w:rPr>
                <w:rFonts w:ascii="宋体" w:cs="宋体" w:eastAsia="宋体" w:hAnsi="宋体"/>
                <w:sz w:val="18"/>
                <w:szCs w:val="18"/>
              </w:rPr>
            </w:pPr>
            <w:r>
              <w:rPr>
                <w:rFonts w:ascii="宋体" w:cs="宋体" w:eastAsia="宋体" w:hAnsi="宋体" w:hint="eastAsia"/>
                <w:color w:val="000000"/>
                <w:kern w:val="0"/>
                <w:sz w:val="18"/>
                <w:szCs w:val="18"/>
              </w:rPr>
              <w:t>50%</w:t>
            </w:r>
          </w:p>
        </w:tc>
        <w:tc>
          <w:tcPr>
            <w:tcW w:w="1780" w:type="dxa"/>
            <w:tcBorders/>
          </w:tcPr>
          <w:p>
            <w:pPr>
              <w:pStyle w:val="style0"/>
              <w:widowControl/>
              <w:jc w:val="center"/>
              <w:textAlignment w:val="top"/>
              <w:rPr>
                <w:rFonts w:ascii="宋体" w:cs="宋体" w:eastAsia="宋体" w:hAnsi="宋体"/>
                <w:sz w:val="18"/>
                <w:szCs w:val="18"/>
              </w:rPr>
            </w:pPr>
            <w:r>
              <w:rPr>
                <w:rFonts w:ascii="宋体" w:cs="宋体" w:eastAsia="宋体" w:hAnsi="宋体" w:hint="eastAsia"/>
                <w:color w:val="000000"/>
                <w:kern w:val="0"/>
                <w:sz w:val="18"/>
                <w:szCs w:val="18"/>
              </w:rPr>
              <w:t>50%</w:t>
            </w:r>
          </w:p>
        </w:tc>
        <w:tc>
          <w:tcPr>
            <w:tcW w:w="1780" w:type="dxa"/>
            <w:tcBorders/>
          </w:tcPr>
          <w:p>
            <w:pPr>
              <w:pStyle w:val="style0"/>
              <w:widowControl/>
              <w:jc w:val="center"/>
              <w:textAlignment w:val="top"/>
              <w:rPr>
                <w:rFonts w:ascii="宋体" w:cs="宋体" w:eastAsia="宋体" w:hAnsi="宋体"/>
                <w:sz w:val="18"/>
                <w:szCs w:val="18"/>
              </w:rPr>
            </w:pPr>
            <w:r>
              <w:rPr>
                <w:rFonts w:ascii="宋体" w:cs="宋体" w:eastAsia="宋体" w:hAnsi="宋体" w:hint="eastAsia"/>
                <w:color w:val="000000"/>
                <w:kern w:val="0"/>
                <w:sz w:val="18"/>
                <w:szCs w:val="18"/>
              </w:rPr>
              <w:t>100%</w:t>
            </w:r>
          </w:p>
        </w:tc>
        <w:tc>
          <w:tcPr>
            <w:tcW w:w="1778" w:type="dxa"/>
            <w:tcBorders/>
            <w:vAlign w:val="bottom"/>
          </w:tcPr>
          <w:p>
            <w:pPr>
              <w:pStyle w:val="style0"/>
              <w:rPr>
                <w:rFonts w:ascii="宋体" w:cs="宋体" w:eastAsia="宋体" w:hAnsi="宋体"/>
                <w:sz w:val="18"/>
                <w:szCs w:val="18"/>
              </w:rPr>
            </w:pPr>
          </w:p>
        </w:tc>
      </w:tr>
      <w:bookmarkStart w:id="6" w:name="_Toc327706746"/>
    </w:tbl>
    <w:p>
      <w:pPr>
        <w:pStyle w:val="style0"/>
        <w:spacing w:lineRule="exact" w:line="400"/>
        <w:ind w:firstLine="315" w:firstLineChars="150"/>
        <w:rPr>
          <w:rFonts w:ascii="Times New Roman" w:eastAsia="宋体" w:hAnsi="Times New Roman"/>
        </w:rPr>
      </w:pPr>
    </w:p>
    <w:p>
      <w:pPr>
        <w:pStyle w:val="style0"/>
        <w:snapToGrid w:val="false"/>
        <w:spacing w:lineRule="exact" w:line="380"/>
        <w:ind w:firstLine="482" w:firstLineChars="200"/>
        <w:outlineLvl w:val="0"/>
        <w:rPr>
          <w:rFonts w:ascii="Times New Roman" w:eastAsia="宋体" w:hAnsi="Times New Roman"/>
          <w:b/>
          <w:sz w:val="24"/>
        </w:rPr>
      </w:pPr>
      <w:r>
        <w:rPr>
          <w:rFonts w:ascii="Times New Roman" w:eastAsia="宋体" w:hAnsi="Times New Roman" w:hint="eastAsia"/>
          <w:b/>
          <w:sz w:val="24"/>
        </w:rPr>
        <w:t>八、教学资源配置与要求</w:t>
      </w:r>
      <w:bookmarkEnd w:id="6"/>
    </w:p>
    <w:bookmarkStart w:id="7" w:name="_Toc327706747"/>
    <w:bookmarkStart w:id="8" w:name="_Toc327706748"/>
    <w:p>
      <w:pPr>
        <w:pStyle w:val="style0"/>
        <w:snapToGrid w:val="false"/>
        <w:spacing w:lineRule="exact" w:line="380"/>
        <w:ind w:firstLine="420" w:firstLineChars="200"/>
        <w:outlineLvl w:val="1"/>
        <w:rPr>
          <w:rFonts w:ascii="Times New Roman" w:eastAsia="宋体" w:hAnsi="Times New Roman"/>
          <w:szCs w:val="21"/>
        </w:rPr>
      </w:pPr>
      <w:r>
        <w:rPr>
          <w:rFonts w:ascii="Times New Roman" w:eastAsia="宋体" w:hAnsi="Times New Roman" w:hint="eastAsia"/>
          <w:szCs w:val="21"/>
        </w:rPr>
        <w:t>（一）师资条件</w:t>
      </w:r>
      <w:bookmarkEnd w:id="7"/>
    </w:p>
    <w:p>
      <w:pPr>
        <w:pStyle w:val="style0"/>
        <w:snapToGrid w:val="false"/>
        <w:spacing w:lineRule="exact" w:line="380"/>
        <w:ind w:firstLine="420" w:firstLineChars="200"/>
        <w:rPr>
          <w:rFonts w:ascii="宋体" w:cs="Cambria Math" w:eastAsia="宋体" w:hAnsi="宋体"/>
          <w:szCs w:val="21"/>
        </w:rPr>
      </w:pPr>
      <w:r>
        <w:rPr>
          <w:rFonts w:ascii="宋体" w:cs="Cambria Math" w:eastAsia="宋体" w:hAnsi="宋体" w:hint="eastAsia"/>
          <w:szCs w:val="21"/>
        </w:rPr>
        <w:t>信息工程系师资队伍培养坚持“按需培养，计划进行，专职为主，理实一体”的原则，针对未来5年市场行业人才需求及学生就读专业人数的研判，有计划地开展培养培训工作。通过构建定位明确、层次清晰、衔接紧密、促进优秀人才可持续发展的培养和支持体系，全面提高教师的政治素质、教学科研能力、知识创新能力和技术服务能力，建设一支素质优良、富有活力、勇于创新、适应学院、专业发展需要的教师队伍。</w:t>
      </w:r>
    </w:p>
    <w:p>
      <w:pPr>
        <w:pStyle w:val="style0"/>
        <w:snapToGrid w:val="false"/>
        <w:spacing w:lineRule="exact" w:line="380"/>
        <w:ind w:firstLine="420" w:firstLineChars="200"/>
        <w:rPr>
          <w:rFonts w:ascii="宋体" w:cs="Cambria Math" w:eastAsia="宋体" w:hAnsi="宋体"/>
          <w:szCs w:val="21"/>
        </w:rPr>
      </w:pPr>
      <w:r>
        <w:rPr>
          <w:rFonts w:ascii="宋体" w:cs="Cambria Math" w:eastAsia="宋体" w:hAnsi="宋体" w:hint="eastAsia"/>
          <w:szCs w:val="21"/>
        </w:rPr>
        <w:t>本专业专兼职教师（仅针对本专业课程体系）1</w:t>
      </w:r>
      <w:r>
        <w:rPr>
          <w:rFonts w:ascii="宋体" w:cs="Cambria Math" w:eastAsia="宋体" w:hAnsi="宋体"/>
          <w:szCs w:val="21"/>
        </w:rPr>
        <w:t>2</w:t>
      </w:r>
      <w:r>
        <w:rPr>
          <w:rFonts w:ascii="宋体" w:cs="Cambria Math" w:eastAsia="宋体" w:hAnsi="宋体" w:hint="eastAsia"/>
          <w:szCs w:val="21"/>
        </w:rPr>
        <w:t>人，其中副教授以上职称</w:t>
      </w:r>
      <w:r>
        <w:rPr>
          <w:rFonts w:ascii="宋体" w:cs="Cambria Math" w:eastAsia="宋体" w:hAnsi="宋体"/>
          <w:szCs w:val="21"/>
        </w:rPr>
        <w:t>8</w:t>
      </w:r>
      <w:r>
        <w:rPr>
          <w:rFonts w:ascii="宋体" w:cs="Cambria Math" w:eastAsia="宋体" w:hAnsi="宋体" w:hint="eastAsia"/>
          <w:szCs w:val="21"/>
        </w:rPr>
        <w:t>人，占</w:t>
      </w:r>
      <w:r>
        <w:rPr>
          <w:rFonts w:ascii="宋体" w:cs="Cambria Math" w:eastAsia="宋体" w:hAnsi="宋体"/>
          <w:szCs w:val="21"/>
        </w:rPr>
        <w:t>67</w:t>
      </w:r>
      <w:r>
        <w:rPr>
          <w:rFonts w:ascii="宋体" w:cs="Cambria Math" w:eastAsia="宋体" w:hAnsi="宋体" w:hint="eastAsia"/>
          <w:szCs w:val="21"/>
        </w:rPr>
        <w:t>%；硕士学位11人，占9</w:t>
      </w:r>
      <w:r>
        <w:rPr>
          <w:rFonts w:ascii="宋体" w:cs="Cambria Math" w:eastAsia="宋体" w:hAnsi="宋体"/>
          <w:szCs w:val="21"/>
        </w:rPr>
        <w:t>2</w:t>
      </w:r>
      <w:r>
        <w:rPr>
          <w:rFonts w:ascii="宋体" w:cs="Cambria Math" w:eastAsia="宋体" w:hAnsi="宋体" w:hint="eastAsia"/>
          <w:szCs w:val="21"/>
        </w:rPr>
        <w:t>%，双师型教师</w:t>
      </w:r>
      <w:r>
        <w:rPr>
          <w:rFonts w:ascii="宋体" w:cs="Cambria Math" w:eastAsia="宋体" w:hAnsi="宋体"/>
          <w:szCs w:val="21"/>
        </w:rPr>
        <w:t>10</w:t>
      </w:r>
      <w:r>
        <w:rPr>
          <w:rFonts w:ascii="宋体" w:cs="Cambria Math" w:eastAsia="宋体" w:hAnsi="宋体" w:hint="eastAsia"/>
          <w:szCs w:val="21"/>
        </w:rPr>
        <w:t>人，占</w:t>
      </w:r>
      <w:r>
        <w:rPr>
          <w:rFonts w:ascii="宋体" w:cs="Cambria Math" w:eastAsia="宋体" w:hAnsi="宋体"/>
          <w:szCs w:val="21"/>
        </w:rPr>
        <w:t>83</w:t>
      </w:r>
      <w:r>
        <w:rPr>
          <w:rFonts w:ascii="宋体" w:cs="Cambria Math" w:eastAsia="宋体" w:hAnsi="宋体" w:hint="eastAsia"/>
          <w:szCs w:val="21"/>
        </w:rPr>
        <w:t>%。具体情况见下表：</w:t>
      </w:r>
    </w:p>
    <w:tbl>
      <w:tblPr>
        <w:tblStyle w:val="style105"/>
        <w:tblW w:w="0" w:type="auto"/>
        <w:jc w:val="center"/>
        <w:tblLayout w:type="fixed"/>
        <w:tblCellMar>
          <w:top w:w="0" w:type="dxa"/>
          <w:left w:w="10" w:type="dxa"/>
          <w:bottom w:w="0" w:type="dxa"/>
          <w:right w:w="10" w:type="dxa"/>
        </w:tblCellMar>
      </w:tblPr>
      <w:tblGrid>
        <w:gridCol w:w="675"/>
        <w:gridCol w:w="851"/>
        <w:gridCol w:w="709"/>
        <w:gridCol w:w="850"/>
        <w:gridCol w:w="1559"/>
        <w:gridCol w:w="2552"/>
        <w:gridCol w:w="1276"/>
      </w:tblGrid>
      <w:tr>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序号</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姓名</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性别</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职称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学历学位</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职业资格证书</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备注</w:t>
            </w: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1</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余云晖</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男</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副教授</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硕士</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高级网络营销师</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王卓勤</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男</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教授</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硕士</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工程师</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3</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彭健</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男</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教授</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硕士</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经济师</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4</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熊凯</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男</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副教授</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硕士</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工程师</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刘珍</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女</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副教授</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硕士</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工程师</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6</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刘柱建</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男</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副教授</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硕士</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工程师</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7</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占剑华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男</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副教授</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硕士</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工程师</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8</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余婷</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女</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讲师</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硕士</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工程师</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9</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孙秋莲</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女</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讲师</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硕士</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高级网络营销师</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10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邹福英</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女</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助教</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本科</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11</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吕歆</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女</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副教授</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硕士</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工程师</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r>
        <w:tblPrEx/>
        <w:trPr>
          <w:trHeight w:val="1" w:hRule="atLeast"/>
          <w:jc w:val="center"/>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12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章</w:t>
            </w:r>
            <w:r>
              <w:rPr>
                <w:rFonts w:ascii="宋体" w:cs="宋体" w:eastAsia="宋体" w:hAnsi="宋体"/>
                <w:sz w:val="18"/>
                <w:szCs w:val="18"/>
              </w:rPr>
              <w:t>朦</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女</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讲师</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r>
              <w:rPr>
                <w:rFonts w:ascii="宋体" w:cs="宋体" w:eastAsia="宋体" w:hAnsi="宋体" w:hint="eastAsia"/>
                <w:sz w:val="18"/>
                <w:szCs w:val="18"/>
              </w:rPr>
              <w:t>硕士</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pStyle w:val="style0"/>
              <w:jc w:val="center"/>
              <w:rPr>
                <w:rFonts w:ascii="宋体" w:cs="宋体" w:eastAsia="宋体" w:hAnsi="宋体"/>
                <w:sz w:val="18"/>
                <w:szCs w:val="18"/>
              </w:rPr>
            </w:pPr>
          </w:p>
        </w:tc>
      </w:tr>
    </w:tbl>
    <w:p>
      <w:pPr>
        <w:pStyle w:val="style0"/>
        <w:snapToGrid w:val="false"/>
        <w:spacing w:lineRule="exact" w:line="380"/>
        <w:ind w:firstLine="420" w:firstLineChars="200"/>
        <w:rPr>
          <w:rFonts w:ascii="Times New Roman" w:eastAsia="宋体" w:hAnsi="Times New Roman"/>
          <w:szCs w:val="21"/>
        </w:rPr>
      </w:pPr>
      <w:r>
        <w:rPr>
          <w:rFonts w:ascii="Times New Roman" w:eastAsia="宋体" w:hAnsi="Times New Roman" w:hint="eastAsia"/>
          <w:szCs w:val="21"/>
        </w:rPr>
        <w:t xml:space="preserve"> 1.专业带头人</w:t>
      </w:r>
    </w:p>
    <w:p>
      <w:pPr>
        <w:pStyle w:val="style0"/>
        <w:spacing w:lineRule="exact" w:line="440"/>
        <w:ind w:firstLine="420" w:firstLineChars="200"/>
        <w:rPr>
          <w:rFonts w:ascii="宋体" w:cs="Cambria Math" w:eastAsia="宋体" w:hAnsi="宋体"/>
          <w:szCs w:val="21"/>
        </w:rPr>
      </w:pPr>
      <w:r>
        <w:rPr>
          <w:rFonts w:ascii="宋体" w:cs="Cambria Math" w:eastAsia="宋体" w:hAnsi="宋体" w:hint="eastAsia"/>
          <w:szCs w:val="21"/>
        </w:rPr>
        <w:t>专业带头人将引领电子商务专业建设的发展方向，主持教学计划、教学大纲的修订与审定与实施，负责本专业及专业群教学改革和实践技能培养方案的制定与实施。电子商务专业需配置1名专业带头人，其基本要求如下：</w:t>
      </w:r>
    </w:p>
    <w:p>
      <w:pPr>
        <w:pStyle w:val="style0"/>
        <w:numPr>
          <w:ilvl w:val="1"/>
          <w:numId w:val="11"/>
        </w:numPr>
        <w:spacing w:lineRule="exact" w:line="440"/>
        <w:ind w:left="993" w:hanging="573"/>
        <w:rPr>
          <w:rFonts w:ascii="宋体" w:cs="Cambria Math" w:eastAsia="宋体" w:hAnsi="宋体"/>
          <w:szCs w:val="21"/>
        </w:rPr>
      </w:pPr>
      <w:r>
        <w:rPr>
          <w:rFonts w:ascii="宋体" w:cs="Cambria Math" w:eastAsia="宋体" w:hAnsi="宋体" w:hint="eastAsia"/>
          <w:szCs w:val="21"/>
        </w:rPr>
        <w:t xml:space="preserve">具有较高的专业学术水平，副高以上职称，熟悉电子商务领域的最新研究成果和职业发展动态，准确把握电子商务专业的发展方向。 </w:t>
      </w:r>
    </w:p>
    <w:p>
      <w:pPr>
        <w:pStyle w:val="style0"/>
        <w:numPr>
          <w:ilvl w:val="1"/>
          <w:numId w:val="11"/>
        </w:numPr>
        <w:spacing w:lineRule="exact" w:line="440"/>
        <w:ind w:left="993" w:hanging="573"/>
        <w:rPr>
          <w:rFonts w:ascii="宋体" w:cs="Cambria Math" w:eastAsia="宋体" w:hAnsi="宋体"/>
          <w:szCs w:val="21"/>
        </w:rPr>
      </w:pPr>
      <w:r>
        <w:rPr>
          <w:rFonts w:ascii="宋体" w:cs="Cambria Math" w:eastAsia="宋体" w:hAnsi="宋体" w:hint="eastAsia"/>
          <w:szCs w:val="21"/>
        </w:rPr>
        <w:t xml:space="preserve">具有较高的职业教育教学规律认识水平，熟悉基于工作过程、项目导向等课程开发流程与开发方法，具有丰富的教学经验。 </w:t>
      </w:r>
    </w:p>
    <w:p>
      <w:pPr>
        <w:pStyle w:val="style0"/>
        <w:numPr>
          <w:ilvl w:val="1"/>
          <w:numId w:val="11"/>
        </w:numPr>
        <w:spacing w:lineRule="exact" w:line="440"/>
        <w:ind w:left="993" w:hanging="573"/>
        <w:rPr>
          <w:rFonts w:ascii="宋体" w:cs="Cambria Math" w:eastAsia="宋体" w:hAnsi="宋体"/>
          <w:szCs w:val="21"/>
        </w:rPr>
      </w:pPr>
      <w:r>
        <w:rPr>
          <w:rFonts w:ascii="宋体" w:cs="Cambria Math" w:eastAsia="宋体" w:hAnsi="宋体" w:hint="eastAsia"/>
          <w:szCs w:val="21"/>
        </w:rPr>
        <w:t xml:space="preserve">具有较强课程开发、教学改革和科研能力，能够根据职业发展的需求及时调整人才培养方案和专业课程体系。 </w:t>
      </w:r>
    </w:p>
    <w:p>
      <w:pPr>
        <w:pStyle w:val="style0"/>
        <w:numPr>
          <w:ilvl w:val="1"/>
          <w:numId w:val="11"/>
        </w:numPr>
        <w:spacing w:lineRule="exact" w:line="440"/>
        <w:ind w:left="993" w:hanging="573"/>
        <w:rPr>
          <w:rFonts w:ascii="宋体" w:cs="Cambria Math" w:eastAsia="宋体" w:hAnsi="宋体"/>
          <w:szCs w:val="21"/>
        </w:rPr>
      </w:pPr>
      <w:r>
        <w:rPr>
          <w:rFonts w:ascii="宋体" w:cs="Cambria Math" w:eastAsia="宋体" w:hAnsi="宋体" w:hint="eastAsia"/>
          <w:szCs w:val="21"/>
        </w:rPr>
        <w:t xml:space="preserve">具有较强的组织协调能力，能够带领专业教学团队进行教育教学改革。 </w:t>
      </w:r>
    </w:p>
    <w:p>
      <w:pPr>
        <w:pStyle w:val="style0"/>
        <w:numPr>
          <w:ilvl w:val="1"/>
          <w:numId w:val="11"/>
        </w:numPr>
        <w:spacing w:lineRule="exact" w:line="440"/>
        <w:ind w:left="993" w:hanging="573"/>
        <w:rPr>
          <w:rFonts w:ascii="宋体" w:cs="Cambria Math" w:eastAsia="宋体" w:hAnsi="宋体"/>
          <w:szCs w:val="21"/>
        </w:rPr>
      </w:pPr>
      <w:r>
        <w:rPr>
          <w:rFonts w:ascii="宋体" w:cs="Cambria Math" w:eastAsia="宋体" w:hAnsi="宋体" w:hint="eastAsia"/>
          <w:szCs w:val="21"/>
        </w:rPr>
        <w:t>具备指导青年骨干教师的能力。</w:t>
      </w:r>
    </w:p>
    <w:p>
      <w:pPr>
        <w:pStyle w:val="style0"/>
        <w:snapToGrid w:val="false"/>
        <w:spacing w:lineRule="exact" w:line="380"/>
        <w:ind w:firstLine="420" w:firstLineChars="200"/>
        <w:rPr>
          <w:rFonts w:ascii="Times New Roman" w:eastAsia="宋体" w:hAnsi="Times New Roman"/>
          <w:szCs w:val="21"/>
        </w:rPr>
      </w:pPr>
      <w:r>
        <w:rPr>
          <w:rFonts w:ascii="Times New Roman" w:eastAsia="宋体" w:hAnsi="Times New Roman" w:hint="eastAsia"/>
          <w:szCs w:val="21"/>
        </w:rPr>
        <w:t xml:space="preserve"> 2.骨干教师队伍</w:t>
      </w:r>
    </w:p>
    <w:p>
      <w:pPr>
        <w:pStyle w:val="style0"/>
        <w:numPr>
          <w:ilvl w:val="1"/>
          <w:numId w:val="12"/>
        </w:numPr>
        <w:spacing w:lineRule="exact" w:line="440"/>
        <w:ind w:left="993" w:hanging="573"/>
        <w:rPr>
          <w:rFonts w:ascii="宋体" w:cs="Cambria Math" w:eastAsia="宋体" w:hAnsi="宋体"/>
          <w:szCs w:val="21"/>
        </w:rPr>
      </w:pPr>
      <w:r>
        <w:rPr>
          <w:rFonts w:ascii="宋体" w:cs="Cambria Math" w:eastAsia="宋体" w:hAnsi="宋体" w:hint="eastAsia"/>
          <w:szCs w:val="21"/>
        </w:rPr>
        <w:t>具有良好的思想政治素质、职业道德和优良学风。</w:t>
      </w:r>
    </w:p>
    <w:p>
      <w:pPr>
        <w:pStyle w:val="style0"/>
        <w:numPr>
          <w:ilvl w:val="1"/>
          <w:numId w:val="12"/>
        </w:numPr>
        <w:spacing w:lineRule="exact" w:line="440"/>
        <w:ind w:left="993" w:hanging="573"/>
        <w:rPr>
          <w:rFonts w:ascii="宋体" w:cs="Cambria Math" w:eastAsia="宋体" w:hAnsi="宋体"/>
          <w:szCs w:val="21"/>
        </w:rPr>
      </w:pPr>
      <w:r>
        <w:rPr>
          <w:rFonts w:ascii="宋体" w:cs="Cambria Math" w:eastAsia="宋体" w:hAnsi="宋体" w:hint="eastAsia"/>
          <w:szCs w:val="21"/>
        </w:rPr>
        <w:t>从事教学科研第一线工作，年龄一般在45周岁以下（含45周岁），具有讲师以上职称或具有硕士学位。</w:t>
      </w:r>
    </w:p>
    <w:p>
      <w:pPr>
        <w:pStyle w:val="style0"/>
        <w:numPr>
          <w:ilvl w:val="1"/>
          <w:numId w:val="12"/>
        </w:numPr>
        <w:spacing w:lineRule="exact" w:line="440"/>
        <w:ind w:left="993" w:hanging="573"/>
        <w:rPr>
          <w:rFonts w:ascii="宋体" w:cs="Cambria Math" w:eastAsia="宋体" w:hAnsi="宋体"/>
          <w:szCs w:val="21"/>
        </w:rPr>
      </w:pPr>
      <w:r>
        <w:rPr>
          <w:rFonts w:ascii="宋体" w:cs="Cambria Math" w:eastAsia="宋体" w:hAnsi="宋体" w:hint="eastAsia"/>
          <w:szCs w:val="21"/>
        </w:rPr>
        <w:t>对核心课程较熟悉，近三来，系统讲授一门及以上基础课或专业基础课，或讲授一门及以上专业核心课。</w:t>
      </w:r>
    </w:p>
    <w:p>
      <w:pPr>
        <w:pStyle w:val="style0"/>
        <w:numPr>
          <w:ilvl w:val="1"/>
          <w:numId w:val="12"/>
        </w:numPr>
        <w:spacing w:lineRule="exact" w:line="440"/>
        <w:ind w:left="993" w:hanging="573"/>
        <w:rPr>
          <w:rFonts w:ascii="宋体" w:cs="Cambria Math" w:eastAsia="宋体" w:hAnsi="宋体"/>
          <w:szCs w:val="21"/>
        </w:rPr>
      </w:pPr>
      <w:r>
        <w:rPr>
          <w:rFonts w:ascii="宋体" w:cs="Cambria Math" w:eastAsia="宋体" w:hAnsi="宋体" w:hint="eastAsia"/>
          <w:szCs w:val="21"/>
        </w:rPr>
        <w:t>参与示范专业建设方案的实施；或参与（前三名）完成精品课程的建设；或参与（前三名）完成专业教学计划的制定；或参与（前两名）完成实训场所的建设；或参与完成一门课程课件的制作；或负责完成课程教学大纲（实训大纲）的制定。</w:t>
      </w:r>
    </w:p>
    <w:p>
      <w:pPr>
        <w:pStyle w:val="style0"/>
        <w:numPr>
          <w:ilvl w:val="1"/>
          <w:numId w:val="12"/>
        </w:numPr>
        <w:spacing w:lineRule="exact" w:line="440"/>
        <w:ind w:left="993" w:hanging="573"/>
        <w:rPr>
          <w:rFonts w:ascii="宋体" w:cs="Cambria Math" w:eastAsia="宋体" w:hAnsi="宋体"/>
          <w:szCs w:val="21"/>
        </w:rPr>
      </w:pPr>
      <w:r>
        <w:rPr>
          <w:rFonts w:ascii="宋体" w:cs="Cambria Math" w:eastAsia="宋体" w:hAnsi="宋体" w:hint="eastAsia"/>
          <w:szCs w:val="21"/>
        </w:rPr>
        <w:t>有企业工作经历或兼职经历2年以上。</w:t>
      </w:r>
    </w:p>
    <w:p>
      <w:pPr>
        <w:pStyle w:val="style0"/>
        <w:numPr>
          <w:ilvl w:val="1"/>
          <w:numId w:val="12"/>
        </w:numPr>
        <w:spacing w:lineRule="exact" w:line="440"/>
        <w:ind w:left="993" w:hanging="573"/>
        <w:rPr>
          <w:rFonts w:ascii="宋体" w:cs="Cambria Math" w:eastAsia="宋体" w:hAnsi="宋体"/>
          <w:szCs w:val="21"/>
        </w:rPr>
      </w:pPr>
      <w:r>
        <w:rPr>
          <w:rFonts w:ascii="宋体" w:cs="Cambria Math" w:eastAsia="宋体" w:hAnsi="宋体" w:hint="eastAsia"/>
          <w:szCs w:val="21"/>
        </w:rPr>
        <w:t>科研能力较强，科研水平较高。</w:t>
      </w:r>
    </w:p>
    <w:p>
      <w:pPr>
        <w:pStyle w:val="style0"/>
        <w:snapToGrid w:val="false"/>
        <w:spacing w:lineRule="exact" w:line="380"/>
        <w:ind w:firstLine="420" w:firstLineChars="200"/>
        <w:rPr>
          <w:rFonts w:ascii="Times New Roman" w:eastAsia="宋体" w:hAnsi="Times New Roman"/>
          <w:szCs w:val="21"/>
        </w:rPr>
      </w:pPr>
      <w:r>
        <w:rPr>
          <w:rFonts w:ascii="Times New Roman" w:eastAsia="宋体" w:hAnsi="Times New Roman" w:hint="eastAsia"/>
          <w:szCs w:val="21"/>
        </w:rPr>
        <w:t xml:space="preserve"> 3.兼职教师队伍</w:t>
      </w:r>
    </w:p>
    <w:p>
      <w:pPr>
        <w:pStyle w:val="style0"/>
        <w:spacing w:lineRule="exact" w:line="440"/>
        <w:ind w:firstLine="420" w:firstLineChars="200"/>
        <w:rPr>
          <w:rFonts w:ascii="宋体" w:cs="Cambria Math" w:eastAsia="宋体" w:hAnsi="宋体"/>
          <w:szCs w:val="21"/>
        </w:rPr>
      </w:pPr>
      <w:r>
        <w:rPr>
          <w:rFonts w:ascii="宋体" w:cs="Cambria Math" w:eastAsia="宋体" w:hAnsi="宋体" w:hint="eastAsia"/>
          <w:szCs w:val="21"/>
        </w:rPr>
        <w:t>兼职教师要求经验丰富，来源与数量稳定。行业专家要求具有高级职称资格、本科或以上学历，担任公司技术骨干或重要职位，精通电子商务。本专业需聘有校外兼职教师3人，行业专家3名。兼职教师参与教学研究，教学效果好。</w:t>
      </w:r>
    </w:p>
    <w:p>
      <w:pPr>
        <w:pStyle w:val="style0"/>
        <w:spacing w:lineRule="exact" w:line="440"/>
        <w:ind w:firstLine="420" w:firstLineChars="200"/>
        <w:rPr>
          <w:rFonts w:ascii="宋体" w:cs="Cambria Math" w:eastAsia="宋体" w:hAnsi="宋体"/>
          <w:szCs w:val="21"/>
        </w:rPr>
      </w:pPr>
      <w:r>
        <w:rPr>
          <w:rFonts w:ascii="宋体" w:cs="Cambria Math" w:eastAsia="宋体" w:hAnsi="宋体" w:hint="eastAsia"/>
          <w:szCs w:val="21"/>
        </w:rPr>
        <w:t>兼职教师的要求如下：</w:t>
      </w:r>
    </w:p>
    <w:bookmarkStart w:id="9" w:name="_Toc256035205"/>
    <w:p>
      <w:pPr>
        <w:pStyle w:val="style0"/>
        <w:numPr>
          <w:ilvl w:val="1"/>
          <w:numId w:val="13"/>
        </w:numPr>
        <w:snapToGrid w:val="false"/>
        <w:spacing w:lineRule="exact" w:line="380"/>
        <w:ind w:left="993" w:hanging="573"/>
        <w:rPr>
          <w:rFonts w:ascii="宋体" w:cs="Cambria Math" w:eastAsia="宋体" w:hAnsi="宋体"/>
          <w:szCs w:val="21"/>
        </w:rPr>
      </w:pPr>
      <w:r>
        <w:rPr>
          <w:rFonts w:ascii="宋体" w:cs="Cambria Math" w:eastAsia="宋体" w:hAnsi="宋体" w:hint="eastAsia"/>
          <w:szCs w:val="21"/>
        </w:rPr>
        <w:t>在本专业相关企业生产一线从事技术工作5年以上。</w:t>
      </w:r>
      <w:bookmarkEnd w:id="9"/>
    </w:p>
    <w:bookmarkStart w:id="10" w:name="_Toc256035206"/>
    <w:p>
      <w:pPr>
        <w:pStyle w:val="style0"/>
        <w:numPr>
          <w:ilvl w:val="1"/>
          <w:numId w:val="13"/>
        </w:numPr>
        <w:snapToGrid w:val="false"/>
        <w:spacing w:lineRule="exact" w:line="380"/>
        <w:ind w:left="993" w:hanging="573"/>
        <w:rPr>
          <w:rFonts w:ascii="宋体" w:cs="Cambria Math" w:eastAsia="宋体" w:hAnsi="宋体"/>
          <w:szCs w:val="21"/>
        </w:rPr>
      </w:pPr>
      <w:r>
        <w:rPr>
          <w:rFonts w:ascii="宋体" w:cs="Cambria Math" w:eastAsia="宋体" w:hAnsi="宋体" w:hint="eastAsia"/>
          <w:szCs w:val="21"/>
        </w:rPr>
        <w:t>经过职业教育培训，能承担起本专业实践教学任务。</w:t>
      </w:r>
      <w:bookmarkEnd w:id="10"/>
    </w:p>
    <w:bookmarkStart w:id="11" w:name="_Toc256035207"/>
    <w:p>
      <w:pPr>
        <w:pStyle w:val="style0"/>
        <w:snapToGrid w:val="false"/>
        <w:spacing w:lineRule="exact" w:line="380"/>
        <w:ind w:firstLine="420" w:firstLineChars="200"/>
        <w:outlineLvl w:val="1"/>
        <w:rPr>
          <w:rFonts w:ascii="宋体" w:cs="Cambria Math" w:eastAsia="宋体" w:hAnsi="宋体"/>
          <w:szCs w:val="21"/>
        </w:rPr>
      </w:pPr>
      <w:r>
        <w:rPr>
          <w:rFonts w:ascii="宋体" w:cs="Cambria Math" w:eastAsia="宋体" w:hAnsi="宋体" w:hint="eastAsia"/>
          <w:szCs w:val="21"/>
        </w:rPr>
        <w:t>在企事业取得中级以上职称的电子商务师、电子商务设计师或具有高级职称资格（具备同等能力水平亦可）等。</w:t>
      </w:r>
      <w:bookmarkEnd w:id="11"/>
    </w:p>
    <w:p>
      <w:pPr>
        <w:pStyle w:val="style0"/>
        <w:snapToGrid w:val="false"/>
        <w:spacing w:lineRule="exact" w:line="380"/>
        <w:ind w:firstLine="420" w:firstLineChars="200"/>
        <w:outlineLvl w:val="1"/>
        <w:rPr>
          <w:rFonts w:ascii="Times New Roman" w:eastAsia="宋体" w:hAnsi="Times New Roman"/>
          <w:szCs w:val="21"/>
        </w:rPr>
      </w:pPr>
      <w:r>
        <w:rPr>
          <w:rFonts w:ascii="Times New Roman" w:eastAsia="宋体" w:hAnsi="Times New Roman" w:hint="eastAsia"/>
          <w:szCs w:val="21"/>
        </w:rPr>
        <w:t>（二）实训条件</w:t>
      </w:r>
      <w:bookmarkEnd w:id="8"/>
    </w:p>
    <w:p>
      <w:pPr>
        <w:pStyle w:val="style0"/>
        <w:snapToGrid w:val="false"/>
        <w:spacing w:lineRule="exact" w:line="380"/>
        <w:ind w:firstLine="420" w:firstLineChars="200"/>
        <w:rPr>
          <w:rFonts w:ascii="Times New Roman" w:eastAsia="宋体" w:hAnsi="Times New Roman"/>
          <w:szCs w:val="21"/>
        </w:rPr>
      </w:pPr>
      <w:r>
        <w:rPr>
          <w:rFonts w:ascii="Times New Roman" w:eastAsia="宋体" w:hAnsi="Times New Roman" w:hint="eastAsia"/>
          <w:szCs w:val="21"/>
        </w:rPr>
        <w:t xml:space="preserve"> 1.校内实训场地</w:t>
      </w:r>
    </w:p>
    <w:p>
      <w:pPr>
        <w:pStyle w:val="style0"/>
        <w:snapToGrid w:val="false"/>
        <w:spacing w:lineRule="exact" w:line="380"/>
        <w:jc w:val="center"/>
        <w:rPr>
          <w:rFonts w:ascii="Times New Roman" w:eastAsia="宋体" w:hAnsi="Times New Roman"/>
          <w:szCs w:val="21"/>
        </w:rPr>
      </w:pPr>
      <w:r>
        <w:rPr>
          <w:rFonts w:ascii="Times New Roman" w:eastAsia="宋体" w:hAnsi="Times New Roman" w:hint="eastAsia"/>
          <w:b/>
          <w:szCs w:val="21"/>
        </w:rPr>
        <w:t xml:space="preserve"> 校内实训场地建设要求一览表</w:t>
      </w:r>
    </w:p>
    <w:tbl>
      <w:tblPr>
        <w:tblStyle w:val="style105"/>
        <w:tblW w:w="886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top w:w="0" w:type="dxa"/>
          <w:left w:w="0" w:type="dxa"/>
          <w:bottom w:w="0" w:type="dxa"/>
          <w:right w:w="0" w:type="dxa"/>
        </w:tblCellMar>
      </w:tblPr>
      <w:tblGrid>
        <w:gridCol w:w="2012"/>
        <w:gridCol w:w="2834"/>
        <w:gridCol w:w="4016"/>
      </w:tblGrid>
      <w:tr>
        <w:trPr>
          <w:trHeight w:val="567" w:hRule="atLeast"/>
          <w:jc w:val="center"/>
        </w:trPr>
        <w:tc>
          <w:tcPr>
            <w:tcW w:w="2012" w:type="dxa"/>
            <w:tcBorders>
              <w:bottom w:val="double" w:sz="4" w:space="0" w:color="auto"/>
              <w:right w:val="single" w:sz="4" w:space="0" w:color="auto"/>
            </w:tcBorders>
            <w:shd w:val="clear" w:color="auto" w:fill="ffffff"/>
            <w:vAlign w:val="center"/>
          </w:tcPr>
          <w:p>
            <w:pPr>
              <w:pStyle w:val="style0"/>
              <w:tabs>
                <w:tab w:val="left" w:leader="none" w:pos="900"/>
              </w:tabs>
              <w:snapToGrid w:val="false"/>
              <w:spacing w:lineRule="exact" w:line="380"/>
              <w:jc w:val="center"/>
              <w:rPr>
                <w:rFonts w:ascii="Times New Roman" w:eastAsia="宋体" w:hAnsi="Times New Roman"/>
                <w:b/>
                <w:bCs/>
                <w:sz w:val="18"/>
                <w:szCs w:val="18"/>
              </w:rPr>
            </w:pPr>
            <w:r>
              <w:rPr>
                <w:rFonts w:ascii="Times New Roman" w:eastAsia="宋体" w:hAnsi="Times New Roman" w:hint="eastAsia"/>
                <w:b/>
                <w:bCs/>
                <w:sz w:val="18"/>
                <w:szCs w:val="18"/>
              </w:rPr>
              <w:t>实训场地名称</w:t>
            </w:r>
          </w:p>
        </w:tc>
        <w:tc>
          <w:tcPr>
            <w:tcW w:w="2834" w:type="dxa"/>
            <w:tcBorders>
              <w:left w:val="single" w:sz="4" w:space="0" w:color="auto"/>
              <w:bottom w:val="double" w:sz="4" w:space="0" w:color="auto"/>
              <w:right w:val="single" w:sz="4" w:space="0" w:color="auto"/>
            </w:tcBorders>
            <w:shd w:val="clear" w:color="auto" w:fill="ffffff"/>
            <w:vAlign w:val="center"/>
          </w:tcPr>
          <w:p>
            <w:pPr>
              <w:pStyle w:val="style0"/>
              <w:tabs>
                <w:tab w:val="left" w:leader="none" w:pos="900"/>
              </w:tabs>
              <w:snapToGrid w:val="false"/>
              <w:spacing w:lineRule="exact" w:line="380"/>
              <w:jc w:val="center"/>
              <w:rPr>
                <w:rFonts w:ascii="Times New Roman" w:eastAsia="宋体" w:hAnsi="Times New Roman"/>
                <w:b/>
                <w:bCs/>
                <w:kern w:val="0"/>
                <w:sz w:val="18"/>
                <w:szCs w:val="18"/>
              </w:rPr>
            </w:pPr>
            <w:r>
              <w:rPr>
                <w:rFonts w:ascii="Times New Roman" w:eastAsia="宋体" w:hAnsi="Times New Roman" w:hint="eastAsia"/>
                <w:b/>
                <w:bCs/>
                <w:kern w:val="0"/>
                <w:sz w:val="18"/>
                <w:szCs w:val="18"/>
              </w:rPr>
              <w:t>主要设备配置</w:t>
            </w:r>
          </w:p>
        </w:tc>
        <w:tc>
          <w:tcPr>
            <w:tcW w:w="4016" w:type="dxa"/>
            <w:tcBorders>
              <w:left w:val="single" w:sz="4" w:space="0" w:color="auto"/>
              <w:bottom w:val="double" w:sz="4" w:space="0" w:color="auto"/>
            </w:tcBorders>
            <w:shd w:val="clear" w:color="auto" w:fill="ffffff"/>
            <w:vAlign w:val="center"/>
          </w:tcPr>
          <w:p>
            <w:pPr>
              <w:pStyle w:val="style0"/>
              <w:tabs>
                <w:tab w:val="left" w:leader="none" w:pos="-7"/>
              </w:tabs>
              <w:snapToGrid w:val="false"/>
              <w:spacing w:lineRule="exact" w:line="380"/>
              <w:jc w:val="center"/>
              <w:rPr>
                <w:rFonts w:ascii="Times New Roman" w:eastAsia="宋体" w:hAnsi="Times New Roman"/>
                <w:b/>
                <w:bCs/>
                <w:kern w:val="0"/>
                <w:sz w:val="18"/>
                <w:szCs w:val="18"/>
              </w:rPr>
            </w:pPr>
            <w:r>
              <w:rPr>
                <w:rFonts w:ascii="Times New Roman" w:eastAsia="宋体" w:hAnsi="Times New Roman" w:hint="eastAsia"/>
                <w:b/>
                <w:bCs/>
                <w:kern w:val="0"/>
                <w:sz w:val="18"/>
                <w:szCs w:val="18"/>
              </w:rPr>
              <w:t>主要功能</w:t>
            </w:r>
          </w:p>
        </w:tc>
      </w:tr>
      <w:tr>
        <w:tblPrEx/>
        <w:trPr>
          <w:trHeight w:val="330" w:hRule="atLeast"/>
          <w:jc w:val="center"/>
        </w:trPr>
        <w:tc>
          <w:tcPr>
            <w:tcW w:w="2012" w:type="dxa"/>
            <w:tcBorders>
              <w:bottom w:val="single" w:sz="4" w:space="0" w:color="auto"/>
              <w:right w:val="single" w:sz="4" w:space="0" w:color="auto"/>
            </w:tcBorders>
            <w:vAlign w:val="center"/>
          </w:tcPr>
          <w:p>
            <w:pPr>
              <w:pStyle w:val="style0"/>
              <w:spacing w:lineRule="exact" w:line="440"/>
              <w:jc w:val="center"/>
              <w:rPr>
                <w:rFonts w:ascii="Times New Roman" w:eastAsia="宋体" w:hAnsi="Times New Roman"/>
                <w:kern w:val="0"/>
                <w:sz w:val="18"/>
                <w:szCs w:val="18"/>
              </w:rPr>
            </w:pPr>
            <w:r>
              <w:rPr>
                <w:rFonts w:ascii="宋体" w:cs="Cambria Math" w:eastAsia="宋体" w:hAnsi="宋体" w:hint="eastAsia"/>
                <w:sz w:val="18"/>
                <w:szCs w:val="18"/>
              </w:rPr>
              <w:t>电子商务实训室</w:t>
            </w:r>
          </w:p>
        </w:tc>
        <w:tc>
          <w:tcPr>
            <w:tcW w:w="2834" w:type="dxa"/>
            <w:tcBorders>
              <w:left w:val="single" w:sz="4" w:space="0" w:color="auto"/>
              <w:bottom w:val="single" w:sz="4" w:space="0" w:color="auto"/>
              <w:right w:val="single" w:sz="4" w:space="0" w:color="auto"/>
            </w:tcBorders>
            <w:vAlign w:val="center"/>
          </w:tcPr>
          <w:p>
            <w:pPr>
              <w:pStyle w:val="style0"/>
              <w:tabs>
                <w:tab w:val="left" w:leader="none" w:pos="900"/>
              </w:tabs>
              <w:snapToGrid w:val="false"/>
              <w:spacing w:lineRule="exact" w:line="380"/>
              <w:jc w:val="center"/>
              <w:rPr>
                <w:rFonts w:ascii="Times New Roman" w:eastAsia="宋体" w:hAnsi="Times New Roman"/>
                <w:kern w:val="0"/>
                <w:sz w:val="18"/>
                <w:szCs w:val="18"/>
              </w:rPr>
            </w:pPr>
            <w:r>
              <w:rPr>
                <w:rFonts w:ascii="宋体" w:cs="宋体" w:eastAsia="宋体" w:hAnsi="宋体" w:hint="eastAsia"/>
                <w:kern w:val="0"/>
                <w:sz w:val="18"/>
                <w:szCs w:val="18"/>
              </w:rPr>
              <w:t>61台电脑，1台投影仪</w:t>
            </w:r>
          </w:p>
        </w:tc>
        <w:tc>
          <w:tcPr>
            <w:tcW w:w="4016" w:type="dxa"/>
            <w:tcBorders>
              <w:left w:val="single" w:sz="4" w:space="0" w:color="auto"/>
              <w:bottom w:val="single" w:sz="4" w:space="0" w:color="auto"/>
            </w:tcBorders>
            <w:vAlign w:val="center"/>
          </w:tcPr>
          <w:p>
            <w:pPr>
              <w:pStyle w:val="style0"/>
              <w:spacing w:lineRule="exact" w:line="440"/>
              <w:jc w:val="left"/>
              <w:rPr>
                <w:rFonts w:ascii="Times New Roman" w:eastAsia="宋体" w:hAnsi="Times New Roman"/>
                <w:kern w:val="0"/>
                <w:sz w:val="18"/>
                <w:szCs w:val="18"/>
              </w:rPr>
            </w:pPr>
            <w:r>
              <w:rPr>
                <w:rFonts w:ascii="宋体" w:cs="Cambria Math" w:eastAsia="宋体" w:hAnsi="宋体" w:hint="eastAsia"/>
                <w:sz w:val="18"/>
                <w:szCs w:val="18"/>
              </w:rPr>
              <w:t>网上支付、网店推广、网店客服、</w:t>
            </w:r>
            <w:r>
              <w:rPr>
                <w:rFonts w:ascii="宋体" w:eastAsia="宋体" w:hAnsi="宋体" w:hint="eastAsia"/>
                <w:sz w:val="18"/>
              </w:rPr>
              <w:t>视觉营销设计</w:t>
            </w:r>
            <w:r>
              <w:rPr>
                <w:rFonts w:ascii="宋体" w:cs="Cambria Math" w:eastAsia="宋体" w:hAnsi="宋体" w:hint="eastAsia"/>
                <w:sz w:val="18"/>
                <w:szCs w:val="18"/>
              </w:rPr>
              <w:t>等</w:t>
            </w:r>
          </w:p>
        </w:tc>
      </w:tr>
      <w:tr>
        <w:tblPrEx/>
        <w:trPr>
          <w:trHeight w:val="330" w:hRule="atLeast"/>
          <w:jc w:val="center"/>
        </w:trPr>
        <w:tc>
          <w:tcPr>
            <w:tcW w:w="2012" w:type="dxa"/>
            <w:tcBorders>
              <w:bottom w:val="single" w:sz="4" w:space="0" w:color="auto"/>
              <w:right w:val="single" w:sz="4" w:space="0" w:color="auto"/>
            </w:tcBorders>
            <w:vAlign w:val="center"/>
          </w:tcPr>
          <w:p>
            <w:pPr>
              <w:pStyle w:val="style0"/>
              <w:spacing w:lineRule="exact" w:line="440"/>
              <w:jc w:val="center"/>
              <w:rPr>
                <w:rFonts w:ascii="宋体" w:cs="Cambria Math" w:eastAsia="宋体" w:hAnsi="宋体"/>
                <w:sz w:val="18"/>
                <w:szCs w:val="18"/>
              </w:rPr>
            </w:pPr>
            <w:r>
              <w:rPr>
                <w:rFonts w:ascii="宋体" w:cs="Cambria Math" w:eastAsia="宋体" w:hAnsi="宋体" w:hint="eastAsia"/>
                <w:sz w:val="18"/>
                <w:szCs w:val="18"/>
              </w:rPr>
              <w:t>电子商务产品图片制作工作室</w:t>
            </w:r>
          </w:p>
        </w:tc>
        <w:tc>
          <w:tcPr>
            <w:tcW w:w="2834" w:type="dxa"/>
            <w:tcBorders>
              <w:left w:val="single" w:sz="4" w:space="0" w:color="auto"/>
              <w:bottom w:val="single" w:sz="4" w:space="0" w:color="auto"/>
              <w:right w:val="single" w:sz="4" w:space="0" w:color="auto"/>
            </w:tcBorders>
            <w:vAlign w:val="center"/>
          </w:tcPr>
          <w:p>
            <w:pPr>
              <w:pStyle w:val="style0"/>
              <w:tabs>
                <w:tab w:val="left" w:leader="none" w:pos="900"/>
              </w:tabs>
              <w:snapToGrid w:val="false"/>
              <w:spacing w:lineRule="exact" w:line="380"/>
              <w:jc w:val="center"/>
              <w:rPr>
                <w:rFonts w:ascii="宋体" w:cs="宋体" w:eastAsia="宋体" w:hAnsi="宋体"/>
                <w:kern w:val="0"/>
                <w:sz w:val="18"/>
                <w:szCs w:val="18"/>
              </w:rPr>
            </w:pPr>
            <w:r>
              <w:rPr>
                <w:rFonts w:ascii="宋体" w:cs="宋体" w:eastAsia="宋体" w:hAnsi="宋体" w:hint="eastAsia"/>
                <w:kern w:val="0"/>
                <w:sz w:val="18"/>
                <w:szCs w:val="18"/>
              </w:rPr>
              <w:t>摄影设备</w:t>
            </w:r>
          </w:p>
        </w:tc>
        <w:tc>
          <w:tcPr>
            <w:tcW w:w="4016" w:type="dxa"/>
            <w:tcBorders>
              <w:left w:val="single" w:sz="4" w:space="0" w:color="auto"/>
              <w:bottom w:val="single" w:sz="4" w:space="0" w:color="auto"/>
            </w:tcBorders>
            <w:vAlign w:val="center"/>
          </w:tcPr>
          <w:p>
            <w:pPr>
              <w:pStyle w:val="style0"/>
              <w:spacing w:lineRule="exact" w:line="440"/>
              <w:jc w:val="left"/>
              <w:rPr>
                <w:rFonts w:ascii="宋体" w:cs="Cambria Math" w:eastAsia="宋体" w:hAnsi="宋体"/>
                <w:sz w:val="18"/>
                <w:szCs w:val="18"/>
              </w:rPr>
            </w:pPr>
            <w:r>
              <w:rPr>
                <w:rFonts w:ascii="宋体" w:cs="Cambria Math" w:eastAsia="宋体" w:hAnsi="宋体" w:hint="eastAsia"/>
                <w:sz w:val="18"/>
                <w:szCs w:val="18"/>
              </w:rPr>
              <w:t>产品图片处理、</w:t>
            </w:r>
            <w:r>
              <w:rPr>
                <w:rFonts w:ascii="宋体" w:eastAsia="宋体" w:hAnsi="宋体" w:hint="eastAsia"/>
                <w:sz w:val="18"/>
              </w:rPr>
              <w:t>视觉营销设计</w:t>
            </w:r>
          </w:p>
        </w:tc>
      </w:tr>
      <w:tr>
        <w:tblPrEx/>
        <w:trPr>
          <w:trHeight w:val="330" w:hRule="atLeast"/>
          <w:jc w:val="center"/>
        </w:trPr>
        <w:tc>
          <w:tcPr>
            <w:tcW w:w="2012" w:type="dxa"/>
            <w:tcBorders>
              <w:bottom w:val="single" w:sz="4" w:space="0" w:color="auto"/>
              <w:right w:val="single" w:sz="4" w:space="0" w:color="auto"/>
            </w:tcBorders>
            <w:vAlign w:val="center"/>
          </w:tcPr>
          <w:p>
            <w:pPr>
              <w:pStyle w:val="style0"/>
              <w:spacing w:lineRule="exact" w:line="440"/>
              <w:jc w:val="center"/>
              <w:rPr>
                <w:rFonts w:ascii="宋体" w:cs="Cambria Math" w:eastAsia="宋体" w:hAnsi="宋体"/>
                <w:sz w:val="18"/>
                <w:szCs w:val="18"/>
              </w:rPr>
            </w:pPr>
            <w:r>
              <w:rPr>
                <w:rFonts w:ascii="宋体" w:cs="Cambria Math" w:eastAsia="宋体" w:hAnsi="宋体" w:hint="eastAsia"/>
                <w:sz w:val="18"/>
                <w:szCs w:val="18"/>
              </w:rPr>
              <w:t>电子商务创业基地</w:t>
            </w:r>
          </w:p>
        </w:tc>
        <w:tc>
          <w:tcPr>
            <w:tcW w:w="2834" w:type="dxa"/>
            <w:tcBorders>
              <w:left w:val="single" w:sz="4" w:space="0" w:color="auto"/>
              <w:bottom w:val="single" w:sz="4" w:space="0" w:color="auto"/>
              <w:right w:val="single" w:sz="4" w:space="0" w:color="auto"/>
            </w:tcBorders>
            <w:vAlign w:val="center"/>
          </w:tcPr>
          <w:p>
            <w:pPr>
              <w:pStyle w:val="style0"/>
              <w:tabs>
                <w:tab w:val="left" w:leader="none" w:pos="900"/>
              </w:tabs>
              <w:snapToGrid w:val="false"/>
              <w:spacing w:lineRule="exact" w:line="380"/>
              <w:jc w:val="center"/>
              <w:rPr>
                <w:rFonts w:ascii="宋体" w:cs="宋体" w:eastAsia="宋体" w:hAnsi="宋体"/>
                <w:kern w:val="0"/>
                <w:sz w:val="18"/>
                <w:szCs w:val="18"/>
              </w:rPr>
            </w:pPr>
            <w:r>
              <w:rPr>
                <w:rFonts w:ascii="宋体" w:cs="宋体" w:eastAsia="宋体" w:hAnsi="宋体" w:hint="eastAsia"/>
                <w:kern w:val="0"/>
                <w:sz w:val="18"/>
                <w:szCs w:val="18"/>
              </w:rPr>
              <w:t>4台电脑、货架</w:t>
            </w:r>
          </w:p>
        </w:tc>
        <w:tc>
          <w:tcPr>
            <w:tcW w:w="4016" w:type="dxa"/>
            <w:tcBorders>
              <w:left w:val="single" w:sz="4" w:space="0" w:color="auto"/>
              <w:bottom w:val="single" w:sz="4" w:space="0" w:color="auto"/>
            </w:tcBorders>
            <w:vAlign w:val="center"/>
          </w:tcPr>
          <w:p>
            <w:pPr>
              <w:pStyle w:val="style0"/>
              <w:spacing w:lineRule="exact" w:line="440"/>
              <w:jc w:val="left"/>
              <w:rPr>
                <w:rFonts w:ascii="宋体" w:cs="Cambria Math" w:eastAsia="宋体" w:hAnsi="宋体"/>
                <w:sz w:val="18"/>
                <w:szCs w:val="18"/>
              </w:rPr>
            </w:pPr>
            <w:r>
              <w:rPr>
                <w:rFonts w:ascii="宋体" w:cs="Cambria Math" w:eastAsia="宋体" w:hAnsi="宋体" w:hint="eastAsia"/>
                <w:sz w:val="18"/>
                <w:szCs w:val="18"/>
              </w:rPr>
              <w:t>网上支付、网店推广、网店客服、</w:t>
            </w:r>
            <w:r>
              <w:rPr>
                <w:rFonts w:ascii="宋体" w:eastAsia="宋体" w:hAnsi="宋体" w:hint="eastAsia"/>
                <w:sz w:val="18"/>
              </w:rPr>
              <w:t>视觉营销设计</w:t>
            </w:r>
            <w:r>
              <w:rPr>
                <w:rFonts w:ascii="宋体" w:cs="Cambria Math" w:eastAsia="宋体" w:hAnsi="宋体" w:hint="eastAsia"/>
                <w:sz w:val="18"/>
                <w:szCs w:val="18"/>
              </w:rPr>
              <w:t>等</w:t>
            </w:r>
          </w:p>
        </w:tc>
      </w:tr>
      <w:tr>
        <w:tblPrEx/>
        <w:trPr>
          <w:trHeight w:val="330" w:hRule="atLeast"/>
          <w:jc w:val="center"/>
        </w:trPr>
        <w:tc>
          <w:tcPr>
            <w:tcW w:w="2012" w:type="dxa"/>
            <w:tcBorders>
              <w:bottom w:val="single" w:sz="4" w:space="0" w:color="auto"/>
              <w:right w:val="single" w:sz="4" w:space="0" w:color="auto"/>
            </w:tcBorders>
            <w:vAlign w:val="center"/>
          </w:tcPr>
          <w:p>
            <w:pPr>
              <w:pStyle w:val="style0"/>
              <w:spacing w:lineRule="exact" w:line="440"/>
              <w:jc w:val="center"/>
              <w:rPr>
                <w:rFonts w:ascii="宋体" w:cs="Cambria Math" w:eastAsia="宋体" w:hAnsi="宋体"/>
                <w:sz w:val="18"/>
                <w:szCs w:val="18"/>
              </w:rPr>
            </w:pPr>
            <w:r>
              <w:rPr>
                <w:rFonts w:ascii="宋体" w:cs="Cambria Math" w:eastAsia="宋体" w:hAnsi="宋体" w:hint="eastAsia"/>
                <w:sz w:val="18"/>
                <w:szCs w:val="18"/>
              </w:rPr>
              <w:t>电子商务教学综合实训室</w:t>
            </w:r>
          </w:p>
        </w:tc>
        <w:tc>
          <w:tcPr>
            <w:tcW w:w="2834" w:type="dxa"/>
            <w:tcBorders>
              <w:left w:val="single" w:sz="4" w:space="0" w:color="auto"/>
              <w:bottom w:val="single" w:sz="4" w:space="0" w:color="auto"/>
              <w:right w:val="single" w:sz="4" w:space="0" w:color="auto"/>
            </w:tcBorders>
            <w:vAlign w:val="center"/>
          </w:tcPr>
          <w:p>
            <w:pPr>
              <w:pStyle w:val="style0"/>
              <w:tabs>
                <w:tab w:val="left" w:leader="none" w:pos="900"/>
              </w:tabs>
              <w:snapToGrid w:val="false"/>
              <w:spacing w:lineRule="exact" w:line="380"/>
              <w:jc w:val="center"/>
              <w:rPr>
                <w:rFonts w:ascii="宋体" w:cs="宋体" w:eastAsia="宋体" w:hAnsi="宋体"/>
                <w:kern w:val="0"/>
                <w:sz w:val="18"/>
                <w:szCs w:val="18"/>
              </w:rPr>
            </w:pPr>
            <w:r>
              <w:rPr>
                <w:rFonts w:ascii="宋体" w:cs="宋体" w:eastAsia="宋体" w:hAnsi="宋体" w:hint="eastAsia"/>
                <w:kern w:val="0"/>
                <w:sz w:val="18"/>
                <w:szCs w:val="18"/>
              </w:rPr>
              <w:t>实训软件、76台电脑、DID大屏幕、投影仪、空调、网络设备、桌椅等</w:t>
            </w:r>
          </w:p>
        </w:tc>
        <w:tc>
          <w:tcPr>
            <w:tcW w:w="4016" w:type="dxa"/>
            <w:tcBorders>
              <w:left w:val="single" w:sz="4" w:space="0" w:color="auto"/>
              <w:bottom w:val="single" w:sz="4" w:space="0" w:color="auto"/>
            </w:tcBorders>
            <w:vAlign w:val="center"/>
          </w:tcPr>
          <w:p>
            <w:pPr>
              <w:pStyle w:val="style0"/>
              <w:tabs>
                <w:tab w:val="left" w:leader="none" w:pos="900"/>
              </w:tabs>
              <w:snapToGrid w:val="false"/>
              <w:spacing w:lineRule="exact" w:line="380"/>
              <w:jc w:val="left"/>
              <w:rPr>
                <w:rFonts w:ascii="宋体" w:cs="Cambria Math" w:eastAsia="宋体" w:hAnsi="宋体"/>
                <w:sz w:val="18"/>
                <w:szCs w:val="18"/>
              </w:rPr>
            </w:pPr>
            <w:r>
              <w:rPr>
                <w:rFonts w:ascii="宋体" w:cs="Cambria Math" w:eastAsia="宋体" w:hAnsi="宋体" w:hint="eastAsia"/>
                <w:kern w:val="0"/>
                <w:sz w:val="18"/>
                <w:szCs w:val="18"/>
              </w:rPr>
              <w:t>电子商务综合、网络营销、网络支付与安全、电子商务与物流、网店交易管理、电子商务创业、国际贸易、网络营销推广、网店经营管理、网上开店实务</w:t>
            </w:r>
          </w:p>
        </w:tc>
      </w:tr>
      <w:tr>
        <w:tblPrEx/>
        <w:trPr>
          <w:trHeight w:val="330" w:hRule="atLeast"/>
          <w:jc w:val="center"/>
        </w:trPr>
        <w:tc>
          <w:tcPr>
            <w:tcW w:w="2012" w:type="dxa"/>
            <w:tcBorders>
              <w:bottom w:val="single" w:sz="4" w:space="0" w:color="auto"/>
              <w:right w:val="single" w:sz="4" w:space="0" w:color="auto"/>
            </w:tcBorders>
            <w:vAlign w:val="center"/>
          </w:tcPr>
          <w:p>
            <w:pPr>
              <w:pStyle w:val="style0"/>
              <w:spacing w:lineRule="exact" w:line="440"/>
              <w:jc w:val="center"/>
              <w:rPr>
                <w:rFonts w:ascii="宋体" w:cs="Cambria Math" w:eastAsia="宋体" w:hAnsi="宋体"/>
                <w:sz w:val="18"/>
                <w:szCs w:val="18"/>
              </w:rPr>
            </w:pPr>
            <w:r>
              <w:rPr>
                <w:rFonts w:ascii="宋体" w:cs="Cambria Math" w:eastAsia="宋体" w:hAnsi="宋体" w:hint="eastAsia"/>
                <w:sz w:val="18"/>
                <w:szCs w:val="18"/>
              </w:rPr>
              <w:t>电子商务实战实训室</w:t>
            </w:r>
          </w:p>
        </w:tc>
        <w:tc>
          <w:tcPr>
            <w:tcW w:w="2834" w:type="dxa"/>
            <w:tcBorders>
              <w:left w:val="single" w:sz="4" w:space="0" w:color="auto"/>
              <w:bottom w:val="single" w:sz="4" w:space="0" w:color="auto"/>
              <w:right w:val="single" w:sz="4" w:space="0" w:color="auto"/>
            </w:tcBorders>
            <w:vAlign w:val="center"/>
          </w:tcPr>
          <w:p>
            <w:pPr>
              <w:pStyle w:val="style0"/>
              <w:tabs>
                <w:tab w:val="left" w:leader="none" w:pos="900"/>
              </w:tabs>
              <w:snapToGrid w:val="false"/>
              <w:spacing w:lineRule="exact" w:line="380"/>
              <w:jc w:val="center"/>
              <w:rPr>
                <w:rFonts w:ascii="宋体" w:cs="宋体" w:eastAsia="宋体" w:hAnsi="宋体"/>
                <w:kern w:val="0"/>
                <w:sz w:val="18"/>
                <w:szCs w:val="18"/>
              </w:rPr>
            </w:pPr>
            <w:r>
              <w:rPr>
                <w:rFonts w:ascii="宋体" w:cs="宋体" w:eastAsia="宋体" w:hAnsi="宋体" w:hint="eastAsia"/>
                <w:kern w:val="0"/>
                <w:sz w:val="18"/>
                <w:szCs w:val="18"/>
              </w:rPr>
              <w:t>实训软件、6</w:t>
            </w:r>
            <w:r>
              <w:rPr>
                <w:rFonts w:ascii="宋体" w:cs="宋体" w:eastAsia="宋体" w:hAnsi="宋体"/>
                <w:kern w:val="0"/>
                <w:sz w:val="18"/>
                <w:szCs w:val="18"/>
              </w:rPr>
              <w:t>1</w:t>
            </w:r>
            <w:r>
              <w:rPr>
                <w:rFonts w:ascii="宋体" w:cs="宋体" w:eastAsia="宋体" w:hAnsi="宋体" w:hint="eastAsia"/>
                <w:kern w:val="0"/>
                <w:sz w:val="18"/>
                <w:szCs w:val="18"/>
              </w:rPr>
              <w:t>台电脑、DID大屏幕、投影仪、空调、网络设备、桌椅等</w:t>
            </w:r>
          </w:p>
        </w:tc>
        <w:tc>
          <w:tcPr>
            <w:tcW w:w="4016" w:type="dxa"/>
            <w:tcBorders>
              <w:left w:val="single" w:sz="4" w:space="0" w:color="auto"/>
              <w:bottom w:val="single" w:sz="4" w:space="0" w:color="auto"/>
            </w:tcBorders>
            <w:vAlign w:val="center"/>
          </w:tcPr>
          <w:p>
            <w:pPr>
              <w:pStyle w:val="style0"/>
              <w:tabs>
                <w:tab w:val="left" w:leader="none" w:pos="900"/>
              </w:tabs>
              <w:snapToGrid w:val="false"/>
              <w:spacing w:lineRule="exact" w:line="380"/>
              <w:jc w:val="left"/>
              <w:rPr>
                <w:rFonts w:ascii="宋体" w:cs="Cambria Math" w:eastAsia="宋体" w:hAnsi="宋体"/>
                <w:sz w:val="18"/>
                <w:szCs w:val="18"/>
              </w:rPr>
            </w:pPr>
            <w:r>
              <w:rPr>
                <w:rFonts w:ascii="宋体" w:cs="Cambria Math" w:eastAsia="宋体" w:hAnsi="宋体" w:hint="eastAsia"/>
                <w:kern w:val="0"/>
                <w:sz w:val="18"/>
                <w:szCs w:val="18"/>
              </w:rPr>
              <w:t>电子商务创业、市场营销、网上开店、店铺运营与维护</w:t>
            </w:r>
          </w:p>
        </w:tc>
      </w:tr>
      <w:tr>
        <w:tblPrEx/>
        <w:trPr>
          <w:trHeight w:val="195" w:hRule="atLeast"/>
          <w:jc w:val="center"/>
        </w:trPr>
        <w:tc>
          <w:tcPr>
            <w:tcW w:w="2012" w:type="dxa"/>
            <w:tcBorders>
              <w:top w:val="single" w:sz="4" w:space="0" w:color="auto"/>
              <w:right w:val="single" w:sz="4" w:space="0" w:color="auto"/>
            </w:tcBorders>
            <w:vAlign w:val="center"/>
          </w:tcPr>
          <w:p>
            <w:pPr>
              <w:pStyle w:val="style0"/>
              <w:spacing w:lineRule="exact" w:line="440"/>
              <w:jc w:val="center"/>
              <w:rPr>
                <w:rFonts w:ascii="Times New Roman" w:eastAsia="宋体" w:hAnsi="Times New Roman"/>
                <w:kern w:val="0"/>
                <w:sz w:val="18"/>
                <w:szCs w:val="18"/>
              </w:rPr>
            </w:pPr>
            <w:r>
              <w:rPr>
                <w:rFonts w:ascii="宋体" w:cs="Cambria Math" w:eastAsia="宋体" w:hAnsi="宋体" w:hint="eastAsia"/>
                <w:sz w:val="18"/>
                <w:szCs w:val="18"/>
              </w:rPr>
              <w:t>1</w:t>
            </w:r>
            <w:r>
              <w:rPr>
                <w:rFonts w:ascii="宋体" w:cs="Cambria Math" w:eastAsia="宋体" w:hAnsi="宋体"/>
                <w:sz w:val="18"/>
                <w:szCs w:val="18"/>
              </w:rPr>
              <w:t>+X</w:t>
            </w:r>
            <w:r>
              <w:rPr>
                <w:rFonts w:ascii="宋体" w:cs="Cambria Math" w:eastAsia="宋体" w:hAnsi="宋体" w:hint="eastAsia"/>
                <w:sz w:val="18"/>
                <w:szCs w:val="18"/>
              </w:rPr>
              <w:t>电子商务数据分析实训室</w:t>
            </w:r>
          </w:p>
        </w:tc>
        <w:tc>
          <w:tcPr>
            <w:tcW w:w="2834" w:type="dxa"/>
            <w:tcBorders>
              <w:top w:val="single" w:sz="4" w:space="0" w:color="auto"/>
              <w:left w:val="single" w:sz="4" w:space="0" w:color="auto"/>
              <w:right w:val="single" w:sz="4" w:space="0" w:color="auto"/>
            </w:tcBorders>
            <w:vAlign w:val="center"/>
          </w:tcPr>
          <w:p>
            <w:pPr>
              <w:pStyle w:val="style0"/>
              <w:tabs>
                <w:tab w:val="left" w:leader="none" w:pos="900"/>
              </w:tabs>
              <w:snapToGrid w:val="false"/>
              <w:spacing w:lineRule="exact" w:line="380"/>
              <w:jc w:val="center"/>
              <w:rPr>
                <w:rFonts w:ascii="Times New Roman" w:eastAsia="宋体" w:hAnsi="Times New Roman"/>
                <w:kern w:val="0"/>
                <w:sz w:val="18"/>
                <w:szCs w:val="18"/>
              </w:rPr>
            </w:pPr>
            <w:r>
              <w:rPr>
                <w:rFonts w:ascii="宋体" w:cs="宋体" w:eastAsia="宋体" w:hAnsi="宋体" w:hint="eastAsia"/>
                <w:kern w:val="0"/>
                <w:sz w:val="18"/>
                <w:szCs w:val="18"/>
              </w:rPr>
              <w:t>实训软件、6</w:t>
            </w:r>
            <w:r>
              <w:rPr>
                <w:rFonts w:ascii="宋体" w:cs="宋体" w:eastAsia="宋体" w:hAnsi="宋体"/>
                <w:kern w:val="0"/>
                <w:sz w:val="18"/>
                <w:szCs w:val="18"/>
              </w:rPr>
              <w:t>1</w:t>
            </w:r>
            <w:r>
              <w:rPr>
                <w:rFonts w:ascii="宋体" w:cs="宋体" w:eastAsia="宋体" w:hAnsi="宋体" w:hint="eastAsia"/>
                <w:kern w:val="0"/>
                <w:sz w:val="18"/>
                <w:szCs w:val="18"/>
              </w:rPr>
              <w:t>台电脑、投影仪、空调、网络设备、桌椅等</w:t>
            </w:r>
          </w:p>
        </w:tc>
        <w:tc>
          <w:tcPr>
            <w:tcW w:w="4016" w:type="dxa"/>
            <w:tcBorders>
              <w:top w:val="single" w:sz="4" w:space="0" w:color="auto"/>
              <w:left w:val="single" w:sz="4" w:space="0" w:color="auto"/>
            </w:tcBorders>
            <w:vAlign w:val="center"/>
          </w:tcPr>
          <w:p>
            <w:pPr>
              <w:pStyle w:val="style0"/>
              <w:tabs>
                <w:tab w:val="left" w:leader="none" w:pos="900"/>
              </w:tabs>
              <w:snapToGrid w:val="false"/>
              <w:spacing w:lineRule="exact" w:line="380"/>
              <w:jc w:val="left"/>
              <w:rPr>
                <w:rFonts w:ascii="Times New Roman" w:eastAsia="宋体" w:hAnsi="Times New Roman"/>
                <w:kern w:val="0"/>
                <w:sz w:val="18"/>
                <w:szCs w:val="18"/>
              </w:rPr>
            </w:pPr>
            <w:r>
              <w:rPr>
                <w:rFonts w:ascii="宋体" w:cs="Cambria Math" w:eastAsia="宋体" w:hAnsi="宋体" w:hint="eastAsia"/>
                <w:kern w:val="0"/>
                <w:sz w:val="18"/>
                <w:szCs w:val="18"/>
              </w:rPr>
              <w:t>1</w:t>
            </w:r>
            <w:r>
              <w:rPr>
                <w:rFonts w:ascii="宋体" w:cs="Cambria Math" w:eastAsia="宋体" w:hAnsi="宋体"/>
                <w:kern w:val="0"/>
                <w:sz w:val="18"/>
                <w:szCs w:val="18"/>
              </w:rPr>
              <w:t>+X</w:t>
            </w:r>
            <w:r>
              <w:rPr>
                <w:rFonts w:ascii="宋体" w:cs="Cambria Math" w:eastAsia="宋体" w:hAnsi="宋体" w:hint="eastAsia"/>
                <w:kern w:val="0"/>
                <w:sz w:val="18"/>
                <w:szCs w:val="18"/>
              </w:rPr>
              <w:t>电子商务数据分析考证、电子商务创业、网上开店、电商运营、网店推广、数据可视化、数据化营销</w:t>
            </w:r>
          </w:p>
        </w:tc>
      </w:tr>
    </w:tbl>
    <w:p>
      <w:pPr>
        <w:pStyle w:val="style0"/>
        <w:snapToGrid w:val="false"/>
        <w:spacing w:lineRule="exact" w:line="380"/>
        <w:ind w:firstLine="420" w:firstLineChars="200"/>
        <w:rPr>
          <w:rFonts w:ascii="Times New Roman" w:eastAsia="宋体" w:hAnsi="Times New Roman"/>
          <w:szCs w:val="21"/>
        </w:rPr>
      </w:pPr>
      <w:r>
        <w:rPr>
          <w:rFonts w:ascii="Times New Roman" w:eastAsia="宋体" w:hAnsi="Times New Roman" w:hint="eastAsia"/>
          <w:szCs w:val="21"/>
        </w:rPr>
        <w:t xml:space="preserve"> 2.校外实习场地</w:t>
      </w:r>
    </w:p>
    <w:p>
      <w:pPr>
        <w:pStyle w:val="style0"/>
        <w:snapToGrid w:val="false"/>
        <w:spacing w:lineRule="exact" w:line="380"/>
        <w:ind w:firstLine="420" w:firstLineChars="200"/>
        <w:rPr>
          <w:rFonts w:ascii="宋体" w:cs="Cambria Math" w:eastAsia="宋体" w:hAnsi="宋体"/>
          <w:szCs w:val="21"/>
        </w:rPr>
      </w:pPr>
      <w:r>
        <w:rPr>
          <w:rFonts w:ascii="宋体" w:cs="Cambria Math" w:eastAsia="宋体" w:hAnsi="宋体" w:hint="eastAsia"/>
          <w:szCs w:val="21"/>
        </w:rPr>
        <w:t>校外实习基地的建立,是电子商务专业改变人才培养方式的重要方向,是保证实践教学质量的重要保证,有助于缓解我院“双师型”师资不足的矛盾,增加学生的就业机会。校外实践基地是课外实践教学的载体和平台，其建设程度直接关系到校外实践教学的实施效果和质量。本专业的校外实习基地有：无锡特朗思大宇宙信息技术服务有限公司、广州纵横天地电子商旅有限公司、杭州四喜信息技术有限公司。这些校外实训基地的建立为专业进行实践教学提供了得天独厚的条件。学生在校外实训基地顶岗实践，既熟悉了每个岗位的职业技能，又提高了动手实践能力。</w:t>
      </w:r>
    </w:p>
    <w:p>
      <w:pPr>
        <w:pStyle w:val="style0"/>
        <w:snapToGrid w:val="false"/>
        <w:spacing w:lineRule="exact" w:line="380"/>
        <w:jc w:val="center"/>
        <w:rPr>
          <w:rFonts w:ascii="宋体" w:cs="Cambria Math" w:eastAsia="宋体" w:hAnsi="宋体"/>
          <w:b/>
          <w:sz w:val="18"/>
          <w:szCs w:val="18"/>
        </w:rPr>
      </w:pPr>
      <w:r>
        <w:rPr>
          <w:rFonts w:ascii="宋体" w:cs="Cambria Math" w:eastAsia="宋体" w:hAnsi="宋体" w:hint="eastAsia"/>
          <w:b/>
          <w:sz w:val="18"/>
          <w:szCs w:val="18"/>
        </w:rPr>
        <w:t>校外合作企业实习基地情况表</w:t>
      </w:r>
    </w:p>
    <w:tbl>
      <w:tblPr>
        <w:tblStyle w:val="style10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076"/>
        <w:gridCol w:w="4108"/>
        <w:gridCol w:w="1288"/>
      </w:tblGrid>
      <w:tr>
        <w:trPr>
          <w:jc w:val="center"/>
        </w:trPr>
        <w:tc>
          <w:tcPr>
            <w:tcW w:w="3076" w:type="dxa"/>
            <w:tcBorders/>
          </w:tcPr>
          <w:p>
            <w:pPr>
              <w:pStyle w:val="style0"/>
              <w:jc w:val="center"/>
              <w:rPr>
                <w:rFonts w:ascii="宋体" w:cs="Cambria Math" w:eastAsia="宋体" w:hAnsi="宋体"/>
                <w:sz w:val="18"/>
                <w:szCs w:val="18"/>
              </w:rPr>
            </w:pPr>
            <w:r>
              <w:rPr>
                <w:rFonts w:ascii="宋体" w:cs="Cambria Math" w:eastAsia="宋体" w:hAnsi="宋体"/>
                <w:sz w:val="18"/>
                <w:szCs w:val="18"/>
              </w:rPr>
              <w:t>合作企业名称</w:t>
            </w:r>
          </w:p>
        </w:tc>
        <w:tc>
          <w:tcPr>
            <w:tcW w:w="4108" w:type="dxa"/>
            <w:tcBorders/>
          </w:tcPr>
          <w:p>
            <w:pPr>
              <w:pStyle w:val="style0"/>
              <w:jc w:val="center"/>
              <w:rPr>
                <w:rFonts w:ascii="宋体" w:cs="Cambria Math" w:eastAsia="宋体" w:hAnsi="宋体"/>
                <w:sz w:val="18"/>
                <w:szCs w:val="18"/>
              </w:rPr>
            </w:pPr>
            <w:r>
              <w:rPr>
                <w:rFonts w:ascii="宋体" w:cs="Cambria Math" w:eastAsia="宋体" w:hAnsi="宋体"/>
                <w:sz w:val="18"/>
                <w:szCs w:val="18"/>
              </w:rPr>
              <w:t>主要实训项目</w:t>
            </w:r>
          </w:p>
        </w:tc>
        <w:tc>
          <w:tcPr>
            <w:tcW w:w="1288" w:type="dxa"/>
            <w:tcBorders/>
          </w:tcPr>
          <w:p>
            <w:pPr>
              <w:pStyle w:val="style0"/>
              <w:jc w:val="center"/>
              <w:rPr>
                <w:rFonts w:ascii="宋体" w:cs="Cambria Math" w:eastAsia="宋体" w:hAnsi="宋体"/>
                <w:sz w:val="18"/>
                <w:szCs w:val="18"/>
              </w:rPr>
            </w:pPr>
            <w:r>
              <w:rPr>
                <w:rFonts w:ascii="宋体" w:cs="Cambria Math" w:eastAsia="宋体" w:hAnsi="宋体"/>
                <w:sz w:val="18"/>
                <w:szCs w:val="18"/>
              </w:rPr>
              <w:t>建立时间</w:t>
            </w:r>
          </w:p>
        </w:tc>
      </w:tr>
      <w:tr>
        <w:tblPrEx/>
        <w:trPr>
          <w:jc w:val="center"/>
        </w:trPr>
        <w:tc>
          <w:tcPr>
            <w:tcW w:w="3076" w:type="dxa"/>
            <w:tcBorders/>
          </w:tcPr>
          <w:p>
            <w:pPr>
              <w:pStyle w:val="style0"/>
              <w:rPr>
                <w:rFonts w:ascii="宋体" w:cs="Cambria Math" w:eastAsia="宋体" w:hAnsi="宋体"/>
                <w:sz w:val="18"/>
                <w:szCs w:val="18"/>
              </w:rPr>
            </w:pPr>
            <w:r>
              <w:rPr>
                <w:rFonts w:ascii="宋体" w:cs="Cambria Math" w:eastAsia="宋体" w:hAnsi="宋体" w:hint="eastAsia"/>
                <w:sz w:val="18"/>
                <w:szCs w:val="18"/>
              </w:rPr>
              <w:t>德宝通（辽宁）网络信息技术有限公司江西分公司</w:t>
            </w:r>
          </w:p>
        </w:tc>
        <w:tc>
          <w:tcPr>
            <w:tcW w:w="4108" w:type="dxa"/>
            <w:tcBorders/>
          </w:tcPr>
          <w:p>
            <w:pPr>
              <w:pStyle w:val="style0"/>
              <w:rPr>
                <w:rFonts w:ascii="宋体" w:cs="Cambria Math" w:eastAsia="宋体" w:hAnsi="宋体"/>
                <w:sz w:val="18"/>
                <w:szCs w:val="18"/>
              </w:rPr>
            </w:pPr>
            <w:r>
              <w:rPr>
                <w:rFonts w:ascii="宋体" w:cs="Cambria Math" w:eastAsia="宋体" w:hAnsi="宋体" w:hint="eastAsia"/>
                <w:sz w:val="18"/>
                <w:szCs w:val="18"/>
              </w:rPr>
              <w:t>营销活动策划与执行、视觉营销设计</w:t>
            </w:r>
          </w:p>
        </w:tc>
        <w:tc>
          <w:tcPr>
            <w:tcW w:w="1288" w:type="dxa"/>
            <w:tcBorders/>
            <w:vAlign w:val="center"/>
          </w:tcPr>
          <w:p>
            <w:pPr>
              <w:pStyle w:val="style0"/>
              <w:jc w:val="center"/>
              <w:rPr>
                <w:rFonts w:ascii="宋体" w:cs="Cambria Math" w:eastAsia="宋体" w:hAnsi="宋体"/>
                <w:sz w:val="18"/>
                <w:szCs w:val="18"/>
              </w:rPr>
            </w:pPr>
            <w:r>
              <w:rPr>
                <w:rFonts w:ascii="宋体" w:cs="Cambria Math" w:eastAsia="宋体" w:hAnsi="宋体" w:hint="eastAsia"/>
                <w:sz w:val="18"/>
                <w:szCs w:val="18"/>
              </w:rPr>
              <w:t>2024年</w:t>
            </w:r>
          </w:p>
        </w:tc>
      </w:tr>
      <w:tr>
        <w:tblPrEx/>
        <w:trPr>
          <w:jc w:val="center"/>
        </w:trPr>
        <w:tc>
          <w:tcPr>
            <w:tcW w:w="3076" w:type="dxa"/>
            <w:tcBorders/>
          </w:tcPr>
          <w:p>
            <w:pPr>
              <w:pStyle w:val="style0"/>
              <w:rPr>
                <w:rFonts w:ascii="宋体" w:cs="Cambria Math" w:eastAsia="宋体" w:hAnsi="宋体"/>
                <w:sz w:val="18"/>
                <w:szCs w:val="18"/>
              </w:rPr>
            </w:pPr>
            <w:r>
              <w:rPr>
                <w:rFonts w:ascii="宋体" w:cs="Cambria Math" w:eastAsia="宋体" w:hAnsi="宋体" w:hint="eastAsia"/>
                <w:sz w:val="18"/>
                <w:szCs w:val="18"/>
              </w:rPr>
              <w:t>江西冰然优选传媒有限公司</w:t>
            </w:r>
          </w:p>
        </w:tc>
        <w:tc>
          <w:tcPr>
            <w:tcW w:w="4108" w:type="dxa"/>
            <w:tcBorders/>
          </w:tcPr>
          <w:p>
            <w:pPr>
              <w:pStyle w:val="style0"/>
              <w:rPr>
                <w:rFonts w:ascii="宋体" w:cs="Cambria Math" w:eastAsia="宋体" w:hAnsi="宋体"/>
                <w:sz w:val="18"/>
                <w:szCs w:val="18"/>
              </w:rPr>
            </w:pPr>
            <w:r>
              <w:rPr>
                <w:rFonts w:ascii="宋体" w:cs="Cambria Math" w:eastAsia="宋体" w:hAnsi="宋体" w:hint="eastAsia"/>
                <w:sz w:val="18"/>
                <w:szCs w:val="18"/>
              </w:rPr>
              <w:t>销售方案执行与优化、网络营销</w:t>
            </w:r>
          </w:p>
        </w:tc>
        <w:tc>
          <w:tcPr>
            <w:tcW w:w="1288" w:type="dxa"/>
            <w:tcBorders/>
            <w:vAlign w:val="center"/>
          </w:tcPr>
          <w:p>
            <w:pPr>
              <w:pStyle w:val="style0"/>
              <w:jc w:val="center"/>
              <w:rPr>
                <w:rFonts w:ascii="宋体" w:cs="Cambria Math" w:eastAsia="宋体" w:hAnsi="宋体"/>
                <w:sz w:val="18"/>
                <w:szCs w:val="18"/>
              </w:rPr>
            </w:pPr>
            <w:r>
              <w:rPr>
                <w:rFonts w:ascii="宋体" w:cs="Cambria Math" w:eastAsia="宋体" w:hAnsi="宋体" w:hint="eastAsia"/>
                <w:sz w:val="18"/>
                <w:szCs w:val="18"/>
              </w:rPr>
              <w:t>2024年</w:t>
            </w:r>
          </w:p>
        </w:tc>
      </w:tr>
      <w:tr>
        <w:tblPrEx/>
        <w:trPr>
          <w:jc w:val="center"/>
        </w:trPr>
        <w:tc>
          <w:tcPr>
            <w:tcW w:w="3076" w:type="dxa"/>
            <w:tcBorders/>
          </w:tcPr>
          <w:p>
            <w:pPr>
              <w:pStyle w:val="style0"/>
              <w:rPr>
                <w:rFonts w:ascii="宋体" w:cs="Cambria Math" w:eastAsia="宋体" w:hAnsi="宋体"/>
                <w:sz w:val="18"/>
                <w:szCs w:val="18"/>
              </w:rPr>
            </w:pPr>
            <w:r>
              <w:rPr>
                <w:rFonts w:ascii="宋体" w:cs="Cambria Math" w:eastAsia="宋体" w:hAnsi="宋体" w:hint="eastAsia"/>
                <w:sz w:val="18"/>
                <w:szCs w:val="18"/>
              </w:rPr>
              <w:t>南昌乐淘淘网络科技服务有限公司</w:t>
            </w:r>
          </w:p>
        </w:tc>
        <w:tc>
          <w:tcPr>
            <w:tcW w:w="4108" w:type="dxa"/>
            <w:tcBorders/>
          </w:tcPr>
          <w:p>
            <w:pPr>
              <w:pStyle w:val="style0"/>
              <w:rPr>
                <w:rFonts w:ascii="宋体" w:cs="Cambria Math" w:eastAsia="宋体" w:hAnsi="宋体"/>
                <w:sz w:val="18"/>
                <w:szCs w:val="18"/>
              </w:rPr>
            </w:pPr>
            <w:r>
              <w:rPr>
                <w:rFonts w:ascii="宋体" w:cs="Cambria Math" w:eastAsia="宋体" w:hAnsi="宋体" w:hint="eastAsia"/>
                <w:sz w:val="18"/>
                <w:szCs w:val="18"/>
              </w:rPr>
              <w:t>商务数据分析、数据化营销</w:t>
            </w:r>
          </w:p>
        </w:tc>
        <w:tc>
          <w:tcPr>
            <w:tcW w:w="1288" w:type="dxa"/>
            <w:tcBorders/>
            <w:vAlign w:val="center"/>
          </w:tcPr>
          <w:p>
            <w:pPr>
              <w:pStyle w:val="style0"/>
              <w:jc w:val="center"/>
              <w:rPr>
                <w:rFonts w:ascii="宋体" w:cs="Cambria Math" w:eastAsia="宋体" w:hAnsi="宋体"/>
                <w:sz w:val="18"/>
                <w:szCs w:val="18"/>
              </w:rPr>
            </w:pPr>
            <w:r>
              <w:rPr>
                <w:rFonts w:ascii="宋体" w:cs="Cambria Math" w:eastAsia="宋体" w:hAnsi="宋体" w:hint="eastAsia"/>
                <w:sz w:val="18"/>
                <w:szCs w:val="18"/>
              </w:rPr>
              <w:t>2024年</w:t>
            </w:r>
          </w:p>
        </w:tc>
      </w:tr>
      <w:tr>
        <w:tblPrEx/>
        <w:trPr>
          <w:jc w:val="center"/>
        </w:trPr>
        <w:tc>
          <w:tcPr>
            <w:tcW w:w="3076" w:type="dxa"/>
            <w:tcBorders/>
          </w:tcPr>
          <w:p>
            <w:pPr>
              <w:pStyle w:val="style0"/>
              <w:rPr>
                <w:rFonts w:ascii="宋体" w:cs="Cambria Math" w:eastAsia="宋体" w:hAnsi="宋体"/>
                <w:sz w:val="18"/>
                <w:szCs w:val="18"/>
              </w:rPr>
            </w:pPr>
            <w:r>
              <w:rPr>
                <w:rFonts w:ascii="宋体" w:cs="Cambria Math" w:eastAsia="宋体" w:hAnsi="宋体" w:hint="eastAsia"/>
                <w:sz w:val="18"/>
                <w:szCs w:val="18"/>
              </w:rPr>
              <w:t>无锡特朗思大宇宙信息技术服务有限公司</w:t>
            </w:r>
          </w:p>
        </w:tc>
        <w:tc>
          <w:tcPr>
            <w:tcW w:w="4108" w:type="dxa"/>
            <w:tcBorders/>
          </w:tcPr>
          <w:p>
            <w:pPr>
              <w:pStyle w:val="style0"/>
              <w:rPr>
                <w:rFonts w:ascii="宋体" w:cs="Cambria Math" w:eastAsia="宋体" w:hAnsi="宋体"/>
                <w:sz w:val="18"/>
                <w:szCs w:val="18"/>
              </w:rPr>
            </w:pPr>
            <w:r>
              <w:rPr>
                <w:rFonts w:ascii="宋体" w:cs="Cambria Math" w:eastAsia="宋体" w:hAnsi="宋体"/>
                <w:sz w:val="18"/>
                <w:szCs w:val="18"/>
              </w:rPr>
              <w:t>电话营销，客户服务</w:t>
            </w:r>
          </w:p>
        </w:tc>
        <w:tc>
          <w:tcPr>
            <w:tcW w:w="1288" w:type="dxa"/>
            <w:tcBorders/>
          </w:tcPr>
          <w:p>
            <w:pPr>
              <w:pStyle w:val="style0"/>
              <w:jc w:val="center"/>
              <w:rPr>
                <w:rFonts w:ascii="宋体" w:cs="Cambria Math" w:eastAsia="宋体" w:hAnsi="宋体"/>
                <w:sz w:val="18"/>
                <w:szCs w:val="18"/>
              </w:rPr>
            </w:pPr>
            <w:r>
              <w:rPr>
                <w:rFonts w:ascii="宋体" w:cs="Cambria Math" w:eastAsia="宋体" w:hAnsi="宋体"/>
                <w:sz w:val="18"/>
                <w:szCs w:val="18"/>
              </w:rPr>
              <w:t>20</w:t>
            </w:r>
            <w:r>
              <w:rPr>
                <w:rFonts w:ascii="宋体" w:cs="Cambria Math" w:eastAsia="宋体" w:hAnsi="宋体" w:hint="eastAsia"/>
                <w:sz w:val="18"/>
                <w:szCs w:val="18"/>
              </w:rPr>
              <w:t>11</w:t>
            </w:r>
            <w:r>
              <w:rPr>
                <w:rFonts w:ascii="宋体" w:cs="Cambria Math" w:eastAsia="宋体" w:hAnsi="宋体"/>
                <w:sz w:val="18"/>
                <w:szCs w:val="18"/>
              </w:rPr>
              <w:t xml:space="preserve"> 年</w:t>
            </w:r>
          </w:p>
        </w:tc>
      </w:tr>
      <w:tr>
        <w:tblPrEx/>
        <w:trPr>
          <w:jc w:val="center"/>
        </w:trPr>
        <w:tc>
          <w:tcPr>
            <w:tcW w:w="3076" w:type="dxa"/>
            <w:tcBorders/>
          </w:tcPr>
          <w:p>
            <w:pPr>
              <w:pStyle w:val="style0"/>
              <w:rPr>
                <w:rFonts w:ascii="宋体" w:cs="Cambria Math" w:eastAsia="宋体" w:hAnsi="宋体"/>
                <w:sz w:val="18"/>
                <w:szCs w:val="18"/>
              </w:rPr>
            </w:pPr>
            <w:r>
              <w:rPr>
                <w:rFonts w:ascii="宋体" w:cs="Cambria Math" w:eastAsia="宋体" w:hAnsi="宋体" w:hint="eastAsia"/>
                <w:sz w:val="18"/>
                <w:szCs w:val="18"/>
              </w:rPr>
              <w:t>广州纵横天地电子商旅有限公司</w:t>
            </w:r>
          </w:p>
        </w:tc>
        <w:tc>
          <w:tcPr>
            <w:tcW w:w="4108" w:type="dxa"/>
            <w:tcBorders/>
          </w:tcPr>
          <w:p>
            <w:pPr>
              <w:pStyle w:val="style0"/>
              <w:rPr>
                <w:rFonts w:ascii="宋体" w:cs="Cambria Math" w:eastAsia="宋体" w:hAnsi="宋体"/>
                <w:sz w:val="18"/>
                <w:szCs w:val="18"/>
              </w:rPr>
            </w:pPr>
            <w:r>
              <w:rPr>
                <w:rFonts w:ascii="宋体" w:cs="Cambria Math" w:eastAsia="宋体" w:hAnsi="宋体"/>
                <w:sz w:val="18"/>
                <w:szCs w:val="18"/>
              </w:rPr>
              <w:t>外贸电子商务，网络营销</w:t>
            </w:r>
          </w:p>
        </w:tc>
        <w:tc>
          <w:tcPr>
            <w:tcW w:w="1288" w:type="dxa"/>
            <w:tcBorders/>
          </w:tcPr>
          <w:p>
            <w:pPr>
              <w:pStyle w:val="style0"/>
              <w:jc w:val="center"/>
              <w:rPr>
                <w:rFonts w:ascii="宋体" w:cs="Cambria Math" w:eastAsia="宋体" w:hAnsi="宋体"/>
                <w:sz w:val="18"/>
                <w:szCs w:val="18"/>
              </w:rPr>
            </w:pPr>
            <w:r>
              <w:rPr>
                <w:rFonts w:ascii="宋体" w:cs="Cambria Math" w:eastAsia="宋体" w:hAnsi="宋体"/>
                <w:sz w:val="18"/>
                <w:szCs w:val="18"/>
              </w:rPr>
              <w:t>200</w:t>
            </w:r>
            <w:r>
              <w:rPr>
                <w:rFonts w:ascii="宋体" w:cs="Cambria Math" w:eastAsia="宋体" w:hAnsi="宋体" w:hint="eastAsia"/>
                <w:sz w:val="18"/>
                <w:szCs w:val="18"/>
              </w:rPr>
              <w:t>6</w:t>
            </w:r>
            <w:r>
              <w:rPr>
                <w:rFonts w:ascii="宋体" w:cs="Cambria Math" w:eastAsia="宋体" w:hAnsi="宋体"/>
                <w:sz w:val="18"/>
                <w:szCs w:val="18"/>
              </w:rPr>
              <w:t xml:space="preserve"> 年</w:t>
            </w:r>
          </w:p>
        </w:tc>
      </w:tr>
      <w:tr>
        <w:tblPrEx/>
        <w:trPr>
          <w:jc w:val="center"/>
        </w:trPr>
        <w:tc>
          <w:tcPr>
            <w:tcW w:w="3076" w:type="dxa"/>
            <w:tcBorders/>
          </w:tcPr>
          <w:p>
            <w:pPr>
              <w:pStyle w:val="style0"/>
              <w:rPr>
                <w:rFonts w:ascii="宋体" w:cs="Cambria Math" w:eastAsia="宋体" w:hAnsi="宋体"/>
                <w:sz w:val="18"/>
                <w:szCs w:val="18"/>
              </w:rPr>
            </w:pPr>
            <w:r>
              <w:rPr>
                <w:rFonts w:ascii="宋体" w:cs="Cambria Math" w:eastAsia="宋体" w:hAnsi="宋体" w:hint="eastAsia"/>
                <w:sz w:val="18"/>
                <w:szCs w:val="18"/>
              </w:rPr>
              <w:t>杭州四喜信息技术有限公司</w:t>
            </w:r>
          </w:p>
        </w:tc>
        <w:tc>
          <w:tcPr>
            <w:tcW w:w="4108" w:type="dxa"/>
            <w:tcBorders/>
          </w:tcPr>
          <w:p>
            <w:pPr>
              <w:pStyle w:val="style0"/>
              <w:rPr>
                <w:rFonts w:ascii="宋体" w:cs="Cambria Math" w:eastAsia="宋体" w:hAnsi="宋体"/>
                <w:sz w:val="18"/>
                <w:szCs w:val="18"/>
              </w:rPr>
            </w:pPr>
            <w:r>
              <w:rPr>
                <w:rFonts w:ascii="宋体" w:cs="Cambria Math" w:eastAsia="宋体" w:hAnsi="宋体"/>
                <w:sz w:val="18"/>
                <w:szCs w:val="18"/>
              </w:rPr>
              <w:t>网络营销，企业电子商务</w:t>
            </w:r>
          </w:p>
        </w:tc>
        <w:tc>
          <w:tcPr>
            <w:tcW w:w="1288" w:type="dxa"/>
            <w:tcBorders/>
          </w:tcPr>
          <w:p>
            <w:pPr>
              <w:pStyle w:val="style0"/>
              <w:jc w:val="center"/>
              <w:rPr>
                <w:rFonts w:ascii="宋体" w:cs="Cambria Math" w:eastAsia="宋体" w:hAnsi="宋体"/>
                <w:sz w:val="18"/>
                <w:szCs w:val="18"/>
              </w:rPr>
            </w:pPr>
            <w:r>
              <w:rPr>
                <w:rFonts w:ascii="宋体" w:cs="Cambria Math" w:eastAsia="宋体" w:hAnsi="宋体"/>
                <w:sz w:val="18"/>
                <w:szCs w:val="18"/>
              </w:rPr>
              <w:t>20</w:t>
            </w:r>
            <w:r>
              <w:rPr>
                <w:rFonts w:ascii="宋体" w:cs="Cambria Math" w:eastAsia="宋体" w:hAnsi="宋体" w:hint="eastAsia"/>
                <w:sz w:val="18"/>
                <w:szCs w:val="18"/>
              </w:rPr>
              <w:t>12</w:t>
            </w:r>
            <w:r>
              <w:rPr>
                <w:rFonts w:ascii="宋体" w:cs="Cambria Math" w:eastAsia="宋体" w:hAnsi="宋体"/>
                <w:sz w:val="18"/>
                <w:szCs w:val="18"/>
              </w:rPr>
              <w:t xml:space="preserve"> 年</w:t>
            </w:r>
          </w:p>
        </w:tc>
      </w:tr>
      <w:tr>
        <w:tblPrEx/>
        <w:trPr>
          <w:jc w:val="center"/>
        </w:trPr>
        <w:tc>
          <w:tcPr>
            <w:tcW w:w="3076" w:type="dxa"/>
            <w:tcBorders/>
          </w:tcPr>
          <w:p>
            <w:pPr>
              <w:pStyle w:val="style0"/>
              <w:rPr>
                <w:rFonts w:ascii="宋体" w:cs="Cambria Math" w:eastAsia="宋体" w:hAnsi="宋体"/>
                <w:sz w:val="18"/>
                <w:szCs w:val="18"/>
              </w:rPr>
            </w:pPr>
            <w:r>
              <w:rPr>
                <w:rFonts w:ascii="宋体" w:cs="Cambria Math" w:eastAsia="宋体" w:hAnsi="宋体" w:hint="eastAsia"/>
                <w:sz w:val="18"/>
                <w:szCs w:val="18"/>
              </w:rPr>
              <w:t>上</w:t>
            </w:r>
            <w:r>
              <w:rPr>
                <w:rFonts w:ascii="宋体" w:cs="Cambria Math" w:eastAsia="宋体" w:hAnsi="宋体"/>
                <w:sz w:val="18"/>
                <w:szCs w:val="18"/>
              </w:rPr>
              <w:t>海</w:t>
            </w:r>
            <w:r>
              <w:rPr>
                <w:rFonts w:ascii="宋体" w:cs="Cambria Math" w:eastAsia="宋体" w:hAnsi="宋体" w:hint="eastAsia"/>
                <w:sz w:val="18"/>
                <w:szCs w:val="18"/>
              </w:rPr>
              <w:t>岐</w:t>
            </w:r>
            <w:r>
              <w:rPr>
                <w:rFonts w:ascii="宋体" w:cs="Cambria Math" w:eastAsia="宋体" w:hAnsi="宋体"/>
                <w:sz w:val="18"/>
                <w:szCs w:val="18"/>
              </w:rPr>
              <w:t>力信息科技公司</w:t>
            </w:r>
          </w:p>
        </w:tc>
        <w:tc>
          <w:tcPr>
            <w:tcW w:w="4108" w:type="dxa"/>
            <w:tcBorders/>
          </w:tcPr>
          <w:p>
            <w:pPr>
              <w:pStyle w:val="style0"/>
              <w:rPr>
                <w:rFonts w:ascii="宋体" w:cs="Cambria Math" w:eastAsia="宋体" w:hAnsi="宋体"/>
                <w:sz w:val="18"/>
                <w:szCs w:val="18"/>
              </w:rPr>
            </w:pPr>
            <w:r>
              <w:rPr>
                <w:rFonts w:ascii="宋体" w:cs="Cambria Math" w:eastAsia="宋体" w:hAnsi="宋体" w:hint="eastAsia"/>
                <w:sz w:val="18"/>
                <w:szCs w:val="18"/>
              </w:rPr>
              <w:t>客户</w:t>
            </w:r>
            <w:r>
              <w:rPr>
                <w:rFonts w:ascii="宋体" w:cs="Cambria Math" w:eastAsia="宋体" w:hAnsi="宋体"/>
                <w:sz w:val="18"/>
                <w:szCs w:val="18"/>
              </w:rPr>
              <w:t>服务、网络营销</w:t>
            </w:r>
          </w:p>
        </w:tc>
        <w:tc>
          <w:tcPr>
            <w:tcW w:w="1288" w:type="dxa"/>
            <w:tcBorders/>
          </w:tcPr>
          <w:p>
            <w:pPr>
              <w:pStyle w:val="style0"/>
              <w:jc w:val="center"/>
              <w:rPr>
                <w:rFonts w:ascii="宋体" w:cs="Cambria Math" w:eastAsia="宋体" w:hAnsi="宋体"/>
                <w:sz w:val="18"/>
                <w:szCs w:val="18"/>
              </w:rPr>
            </w:pPr>
            <w:r>
              <w:rPr>
                <w:rFonts w:ascii="宋体" w:cs="Cambria Math" w:eastAsia="宋体" w:hAnsi="宋体" w:hint="eastAsia"/>
                <w:sz w:val="18"/>
                <w:szCs w:val="18"/>
              </w:rPr>
              <w:t>2019</w:t>
            </w:r>
            <w:r>
              <w:rPr>
                <w:rFonts w:ascii="宋体" w:cs="Cambria Math" w:eastAsia="宋体" w:hAnsi="宋体"/>
                <w:sz w:val="18"/>
                <w:szCs w:val="18"/>
              </w:rPr>
              <w:t xml:space="preserve"> </w:t>
            </w:r>
            <w:r>
              <w:rPr>
                <w:rFonts w:ascii="宋体" w:cs="Cambria Math" w:eastAsia="宋体" w:hAnsi="宋体" w:hint="eastAsia"/>
                <w:sz w:val="18"/>
                <w:szCs w:val="18"/>
              </w:rPr>
              <w:t>年</w:t>
            </w:r>
          </w:p>
        </w:tc>
      </w:tr>
      <w:bookmarkStart w:id="12" w:name="_Toc327706749"/>
    </w:tbl>
    <w:p>
      <w:pPr>
        <w:pStyle w:val="style0"/>
        <w:snapToGrid w:val="false"/>
        <w:spacing w:lineRule="exact" w:line="380"/>
        <w:ind w:firstLine="420" w:firstLineChars="200"/>
        <w:outlineLvl w:val="1"/>
        <w:rPr>
          <w:rFonts w:ascii="Times New Roman" w:eastAsia="宋体" w:hAnsi="Times New Roman"/>
          <w:szCs w:val="21"/>
        </w:rPr>
      </w:pPr>
      <w:r>
        <w:rPr>
          <w:rFonts w:ascii="Times New Roman" w:eastAsia="宋体" w:hAnsi="Times New Roman" w:hint="eastAsia"/>
          <w:szCs w:val="21"/>
        </w:rPr>
        <w:t>（三）其他资源</w:t>
      </w:r>
      <w:bookmarkEnd w:id="12"/>
    </w:p>
    <w:bookmarkStart w:id="13" w:name="_Toc327706750"/>
    <w:p>
      <w:pPr>
        <w:pStyle w:val="style0"/>
        <w:snapToGrid w:val="false"/>
        <w:spacing w:lineRule="exact" w:line="380"/>
        <w:ind w:firstLine="420" w:firstLineChars="200"/>
        <w:rPr>
          <w:rFonts w:ascii="宋体" w:cs="Cambria Math" w:eastAsia="宋体" w:hAnsi="宋体"/>
          <w:szCs w:val="21"/>
        </w:rPr>
      </w:pPr>
      <w:r>
        <w:rPr>
          <w:rFonts w:ascii="宋体" w:cs="Cambria Math" w:eastAsia="宋体" w:hAnsi="宋体" w:hint="eastAsia"/>
          <w:szCs w:val="21"/>
        </w:rPr>
        <w:t>电子商务专业将根据高职教育和专业特点开发核心课程校本教材，建立专业核心课程精品课程网站，开发专业资源库和多媒体课件，以适应信息技术环境下的教学需求。</w:t>
      </w:r>
    </w:p>
    <w:p>
      <w:pPr>
        <w:pStyle w:val="style0"/>
        <w:snapToGrid w:val="false"/>
        <w:spacing w:lineRule="exact" w:line="380"/>
        <w:ind w:firstLine="482" w:firstLineChars="200"/>
        <w:outlineLvl w:val="0"/>
        <w:rPr>
          <w:rFonts w:ascii="Times New Roman" w:eastAsia="宋体" w:hAnsi="Times New Roman"/>
          <w:b/>
          <w:sz w:val="24"/>
        </w:rPr>
      </w:pPr>
      <w:r>
        <w:rPr>
          <w:rFonts w:ascii="Times New Roman" w:eastAsia="宋体" w:hAnsi="Times New Roman" w:hint="eastAsia"/>
          <w:b/>
          <w:sz w:val="24"/>
        </w:rPr>
        <w:t xml:space="preserve"> 九、运行实施与保障措施</w:t>
      </w:r>
      <w:bookmarkEnd w:id="13"/>
    </w:p>
    <w:p>
      <w:pPr>
        <w:pStyle w:val="style0"/>
        <w:spacing w:lineRule="exact" w:line="380"/>
        <w:ind w:firstLine="420" w:firstLineChars="200"/>
        <w:rPr>
          <w:rFonts w:ascii="Times New Roman" w:eastAsia="宋体" w:hAnsi="Times New Roman"/>
        </w:rPr>
      </w:pPr>
      <w:r>
        <w:rPr>
          <w:rFonts w:ascii="Times New Roman" w:eastAsia="宋体" w:hAnsi="Times New Roman" w:hint="eastAsia"/>
        </w:rPr>
        <w:t>（一）教学组织与实施</w:t>
      </w:r>
    </w:p>
    <w:p>
      <w:pPr>
        <w:pStyle w:val="style0"/>
        <w:spacing w:lineRule="exact" w:line="380"/>
        <w:ind w:firstLine="420" w:firstLineChars="200"/>
        <w:rPr>
          <w:rFonts w:ascii="Times New Roman" w:cs="宋体" w:eastAsia="宋体" w:hAnsi="Times New Roman"/>
          <w:bCs/>
        </w:rPr>
      </w:pPr>
      <w:r>
        <w:rPr>
          <w:rFonts w:ascii="Times New Roman" w:cs="宋体" w:eastAsia="宋体" w:hAnsi="Times New Roman" w:hint="eastAsia"/>
          <w:bCs/>
        </w:rPr>
        <w:t>1.通用职业能力与素质教学和育人活动的组织实施</w:t>
      </w:r>
    </w:p>
    <w:p>
      <w:pPr>
        <w:pStyle w:val="style0"/>
        <w:spacing w:lineRule="exact" w:line="380"/>
        <w:ind w:firstLine="420" w:firstLineChars="200"/>
        <w:rPr>
          <w:rFonts w:ascii="Times New Roman" w:cs="宋体" w:eastAsia="宋体" w:hAnsi="Times New Roman"/>
          <w:bCs/>
        </w:rPr>
      </w:pPr>
      <w:r>
        <w:rPr>
          <w:rFonts w:ascii="Times New Roman" w:cs="宋体" w:eastAsia="宋体" w:hAnsi="Times New Roman" w:hint="eastAsia"/>
          <w:bCs/>
        </w:rPr>
        <w:t>贯彻立德树人根本任务，立足</w:t>
      </w:r>
      <w:r>
        <w:rPr>
          <w:rFonts w:ascii="Times New Roman" w:cs="Segoe UI" w:eastAsia="宋体" w:hAnsi="Times New Roman"/>
        </w:rPr>
        <w:t>培养德智体美</w:t>
      </w:r>
      <w:r>
        <w:rPr>
          <w:rFonts w:ascii="Times New Roman" w:cs="Segoe UI" w:eastAsia="宋体" w:hAnsi="Times New Roman" w:hint="eastAsia"/>
        </w:rPr>
        <w:t>劳</w:t>
      </w:r>
      <w:r>
        <w:rPr>
          <w:rFonts w:ascii="Times New Roman" w:cs="Segoe UI" w:eastAsia="宋体" w:hAnsi="Times New Roman"/>
        </w:rPr>
        <w:t>全面发展的社会主义事业建设者和接班人</w:t>
      </w:r>
      <w:r>
        <w:rPr>
          <w:rFonts w:ascii="Times New Roman" w:cs="Segoe UI" w:eastAsia="宋体" w:hAnsi="Times New Roman" w:hint="eastAsia"/>
        </w:rPr>
        <w:t>，</w:t>
      </w:r>
      <w:r>
        <w:rPr>
          <w:rFonts w:ascii="Times New Roman" w:cs="宋体" w:eastAsia="宋体" w:hAnsi="Times New Roman" w:hint="eastAsia"/>
          <w:bCs/>
        </w:rPr>
        <w:t>以提高学生素质能力为着力点，既要</w:t>
      </w:r>
      <w:r>
        <w:rPr>
          <w:rFonts w:ascii="Times New Roman" w:cs="宋体" w:eastAsia="宋体" w:hAnsi="Times New Roman" w:hint="eastAsia"/>
        </w:rPr>
        <w:t>培养学生以专业知识与技能为主要内容的关键专业能力，更要注重提高学生的思想水平、政治觉悟、道德品质为主要内容的思想政治素质以及自我学习管理、信息处理、交流沟通、团队合作、社会责任、职业价值观等为主要内容的基本通用能力和关键社会能力。</w:t>
      </w:r>
    </w:p>
    <w:p>
      <w:pPr>
        <w:pStyle w:val="style0"/>
        <w:spacing w:lineRule="exact" w:line="380"/>
        <w:ind w:firstLine="420" w:firstLineChars="200"/>
        <w:rPr>
          <w:rFonts w:ascii="Times New Roman" w:cs="宋体" w:eastAsia="宋体" w:hAnsi="Times New Roman"/>
        </w:rPr>
      </w:pPr>
      <w:r>
        <w:rPr>
          <w:rFonts w:ascii="Times New Roman" w:cs="宋体" w:eastAsia="宋体" w:hAnsi="Times New Roman" w:hint="eastAsia"/>
        </w:rPr>
        <w:t>专业学生的通用职业能力与素质教学和育人活动分成三个时期，由学院办公室﹒组织人事处、党办、党委宣传部、教务处、产学研培发展中心、学工处·武装部、团委、招生处、就业创业学院、安全保卫处、后勤服务中心、公共课教学部、思政课部和专业系等部门协同组织在校内和校外实施。其中，三个时期包括入学适应与素质能力培养阶段（第1-2学期）、素质能力提升阶段（即第2-3学期）、毕业教育和适应社会阶段（第5-6学期）。</w:t>
      </w:r>
    </w:p>
    <w:p>
      <w:pPr>
        <w:pStyle w:val="style0"/>
        <w:spacing w:lineRule="exact" w:line="380"/>
        <w:ind w:firstLine="420" w:firstLineChars="200"/>
        <w:rPr>
          <w:rFonts w:ascii="Times New Roman" w:cs="宋体" w:eastAsia="宋体" w:hAnsi="Times New Roman"/>
        </w:rPr>
      </w:pPr>
      <w:r>
        <w:rPr>
          <w:rFonts w:ascii="Times New Roman" w:cs="宋体" w:eastAsia="宋体" w:hAnsi="Times New Roman" w:hint="eastAsia"/>
        </w:rPr>
        <w:t>入学适应与素质能力培养阶段（第1-2学期）主要通过军事训练与军事理论、入学教育活动、思政课、公共基础课、专业认知、院系专项主题实践活动等，帮助学生完成由“中学生”向“大学生”身份的转变，引导大学生适应大学生活，注重社交礼仪、加强自我管理，探索职业目标，引导学生适应大学校园环境，适应大学学习和生活变化，探索职业目标，树立人生奋斗新目标。</w:t>
      </w:r>
    </w:p>
    <w:p>
      <w:pPr>
        <w:pStyle w:val="style0"/>
        <w:spacing w:lineRule="exact" w:line="380"/>
        <w:ind w:firstLine="420" w:firstLineChars="200"/>
        <w:rPr>
          <w:rFonts w:ascii="Times New Roman" w:cs="宋体" w:eastAsia="宋体" w:hAnsi="Times New Roman"/>
        </w:rPr>
      </w:pPr>
      <w:r>
        <w:rPr>
          <w:rFonts w:ascii="Times New Roman" w:cs="宋体" w:eastAsia="宋体" w:hAnsi="Times New Roman" w:hint="eastAsia"/>
        </w:rPr>
        <w:t>素质能力提升阶段（即第3-4学期）主要通过思政课、公共基础课、专业课、专业技能训练、技能比赛以及院系专项主题实践活动，着重培养学生的基本素质能力素质，尤其是专业能力，在培养专业能力的同时，注重将思想政治教育融入全过程，注重基本素质能力和专业能力的相互融通，为学生将来就业打下坚实基础。</w:t>
      </w:r>
    </w:p>
    <w:p>
      <w:pPr>
        <w:pStyle w:val="style0"/>
        <w:spacing w:lineRule="exact" w:line="380"/>
        <w:ind w:firstLine="420" w:firstLineChars="200"/>
        <w:rPr>
          <w:rFonts w:ascii="Times New Roman" w:cs="宋体" w:eastAsia="宋体" w:hAnsi="Times New Roman"/>
        </w:rPr>
      </w:pPr>
      <w:r>
        <w:rPr>
          <w:rFonts w:ascii="Times New Roman" w:cs="宋体" w:eastAsia="宋体" w:hAnsi="Times New Roman" w:hint="eastAsia"/>
        </w:rPr>
        <w:t>毕业教育和适应社会阶段（第5-6学期）主要通过专业课、院系专项主题实践活动、岗位实习或兼职，职前教育培训或专题讲座、职业技能鉴定或竞赛等，引导学生积极搜集就业招聘信息，进行毕业心理与情绪调节，学会制作求职简历和进行应聘面试演练，引导学生积极面对就业，促进大学生从“校园人”向“职业人”和“中国公民”角色的良好转变与适应，为实现更高质量的就业创业和可持续发展奠定基础。</w:t>
      </w:r>
    </w:p>
    <w:p>
      <w:pPr>
        <w:pStyle w:val="style0"/>
        <w:spacing w:lineRule="exact" w:line="380"/>
        <w:ind w:firstLine="420" w:firstLineChars="200"/>
        <w:rPr>
          <w:rFonts w:ascii="Times New Roman" w:cs="宋体" w:eastAsia="宋体" w:hAnsi="Times New Roman"/>
        </w:rPr>
      </w:pPr>
      <w:r>
        <w:rPr>
          <w:rFonts w:ascii="Times New Roman" w:cs="宋体" w:eastAsia="宋体" w:hAnsi="Times New Roman" w:hint="eastAsia"/>
        </w:rPr>
        <w:t>通用职业能力与素质教学和育人活动组织安排表参见下表：</w:t>
      </w:r>
    </w:p>
    <w:p>
      <w:pPr>
        <w:pStyle w:val="style0"/>
        <w:jc w:val="center"/>
        <w:rPr>
          <w:rFonts w:ascii="Times New Roman" w:cs="Times New Roman" w:eastAsia="宋体" w:hAnsi="Times New Roman"/>
          <w:b/>
        </w:rPr>
      </w:pPr>
      <w:r>
        <w:rPr>
          <w:rFonts w:ascii="Times New Roman" w:cs="Times New Roman" w:eastAsia="宋体" w:hAnsi="Times New Roman" w:hint="eastAsia"/>
          <w:b/>
        </w:rPr>
        <w:t>通用职业能力与素质教学和育人活动组织安排表</w:t>
      </w:r>
    </w:p>
    <w:tbl>
      <w:tblPr>
        <w:tblStyle w:val="style105"/>
        <w:tblW w:w="883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78"/>
        <w:gridCol w:w="595"/>
        <w:gridCol w:w="587"/>
        <w:gridCol w:w="2127"/>
        <w:gridCol w:w="1261"/>
        <w:gridCol w:w="1747"/>
        <w:gridCol w:w="1739"/>
      </w:tblGrid>
      <w:tr>
        <w:trPr>
          <w:cantSplit/>
        </w:trPr>
        <w:tc>
          <w:tcPr>
            <w:tcW w:w="778" w:type="dxa"/>
            <w:vMerge w:val="restart"/>
            <w:tcBorders/>
            <w:vAlign w:val="center"/>
          </w:tcPr>
          <w:p>
            <w:pPr>
              <w:pStyle w:val="style0"/>
              <w:jc w:val="center"/>
              <w:rPr>
                <w:rFonts w:ascii="Times New Roman" w:cs="宋体" w:eastAsia="宋体" w:hAnsi="Times New Roman"/>
                <w:b/>
                <w:sz w:val="18"/>
                <w:szCs w:val="18"/>
              </w:rPr>
            </w:pPr>
            <w:r>
              <w:rPr>
                <w:rFonts w:ascii="Times New Roman" w:cs="宋体" w:eastAsia="宋体" w:hAnsi="Times New Roman" w:hint="eastAsia"/>
                <w:b/>
                <w:sz w:val="18"/>
                <w:szCs w:val="18"/>
              </w:rPr>
              <w:t>培养阶段</w:t>
            </w:r>
          </w:p>
        </w:tc>
        <w:tc>
          <w:tcPr>
            <w:tcW w:w="595" w:type="dxa"/>
            <w:vMerge w:val="restart"/>
            <w:tcBorders/>
            <w:vAlign w:val="center"/>
          </w:tcPr>
          <w:p>
            <w:pPr>
              <w:pStyle w:val="style0"/>
              <w:jc w:val="center"/>
              <w:rPr>
                <w:rFonts w:ascii="Times New Roman" w:cs="宋体" w:eastAsia="宋体" w:hAnsi="Times New Roman"/>
                <w:b/>
                <w:sz w:val="18"/>
                <w:szCs w:val="18"/>
              </w:rPr>
            </w:pPr>
            <w:r>
              <w:rPr>
                <w:rFonts w:ascii="Times New Roman" w:cs="宋体" w:eastAsia="宋体" w:hAnsi="Times New Roman" w:hint="eastAsia"/>
                <w:b/>
                <w:sz w:val="18"/>
                <w:szCs w:val="18"/>
              </w:rPr>
              <w:t>实施</w:t>
            </w:r>
          </w:p>
          <w:p>
            <w:pPr>
              <w:pStyle w:val="style0"/>
              <w:jc w:val="center"/>
              <w:rPr>
                <w:rFonts w:ascii="Times New Roman" w:cs="宋体" w:eastAsia="宋体" w:hAnsi="Times New Roman"/>
                <w:b/>
                <w:sz w:val="18"/>
                <w:szCs w:val="18"/>
              </w:rPr>
            </w:pPr>
            <w:r>
              <w:rPr>
                <w:rFonts w:ascii="Times New Roman" w:cs="宋体" w:eastAsia="宋体" w:hAnsi="Times New Roman" w:hint="eastAsia"/>
                <w:b/>
                <w:sz w:val="18"/>
                <w:szCs w:val="18"/>
              </w:rPr>
              <w:t>学期</w:t>
            </w:r>
          </w:p>
        </w:tc>
        <w:tc>
          <w:tcPr>
            <w:tcW w:w="587" w:type="dxa"/>
            <w:vMerge w:val="restart"/>
            <w:tcBorders/>
            <w:vAlign w:val="center"/>
          </w:tcPr>
          <w:p>
            <w:pPr>
              <w:pStyle w:val="style0"/>
              <w:jc w:val="center"/>
              <w:rPr>
                <w:rFonts w:ascii="Times New Roman" w:cs="宋体" w:eastAsia="宋体" w:hAnsi="Times New Roman"/>
                <w:b/>
                <w:sz w:val="18"/>
                <w:szCs w:val="18"/>
              </w:rPr>
            </w:pPr>
            <w:r>
              <w:rPr>
                <w:rFonts w:ascii="Times New Roman" w:cs="宋体" w:eastAsia="宋体" w:hAnsi="Times New Roman" w:hint="eastAsia"/>
                <w:b/>
                <w:sz w:val="18"/>
                <w:szCs w:val="18"/>
              </w:rPr>
              <w:t>培养与提升内容</w:t>
            </w:r>
          </w:p>
        </w:tc>
        <w:tc>
          <w:tcPr>
            <w:tcW w:w="6874" w:type="dxa"/>
            <w:gridSpan w:val="4"/>
            <w:tcBorders/>
            <w:vAlign w:val="center"/>
          </w:tcPr>
          <w:p>
            <w:pPr>
              <w:pStyle w:val="style0"/>
              <w:jc w:val="center"/>
              <w:rPr>
                <w:rFonts w:ascii="Times New Roman" w:cs="宋体" w:eastAsia="宋体" w:hAnsi="Times New Roman"/>
                <w:b/>
                <w:sz w:val="18"/>
                <w:szCs w:val="18"/>
              </w:rPr>
            </w:pPr>
            <w:r>
              <w:rPr>
                <w:rFonts w:ascii="Times New Roman" w:cs="宋体" w:eastAsia="宋体" w:hAnsi="Times New Roman" w:hint="eastAsia"/>
                <w:b/>
                <w:sz w:val="18"/>
                <w:szCs w:val="18"/>
              </w:rPr>
              <w:t>组织实施方式与部门</w:t>
            </w:r>
          </w:p>
        </w:tc>
      </w:tr>
      <w:tr>
        <w:tblPrEx/>
        <w:trPr>
          <w:cantSplit/>
        </w:trPr>
        <w:tc>
          <w:tcPr>
            <w:tcW w:w="778" w:type="dxa"/>
            <w:vMerge w:val="continue"/>
            <w:tcBorders/>
            <w:vAlign w:val="center"/>
          </w:tcPr>
          <w:p>
            <w:pPr>
              <w:pStyle w:val="style0"/>
              <w:jc w:val="center"/>
              <w:rPr>
                <w:rFonts w:ascii="Times New Roman" w:cs="宋体" w:eastAsia="宋体" w:hAnsi="Times New Roman"/>
                <w:b/>
                <w:sz w:val="18"/>
                <w:szCs w:val="18"/>
              </w:rPr>
            </w:pPr>
          </w:p>
        </w:tc>
        <w:tc>
          <w:tcPr>
            <w:tcW w:w="595" w:type="dxa"/>
            <w:vMerge w:val="continue"/>
            <w:tcBorders/>
            <w:vAlign w:val="center"/>
          </w:tcPr>
          <w:p>
            <w:pPr>
              <w:pStyle w:val="style0"/>
              <w:jc w:val="center"/>
              <w:rPr>
                <w:rFonts w:ascii="Times New Roman" w:cs="宋体" w:eastAsia="宋体" w:hAnsi="Times New Roman"/>
                <w:b/>
                <w:sz w:val="18"/>
                <w:szCs w:val="18"/>
              </w:rPr>
            </w:pPr>
          </w:p>
        </w:tc>
        <w:tc>
          <w:tcPr>
            <w:tcW w:w="587" w:type="dxa"/>
            <w:vMerge w:val="continue"/>
            <w:tcBorders/>
            <w:vAlign w:val="center"/>
          </w:tcPr>
          <w:p>
            <w:pPr>
              <w:pStyle w:val="style0"/>
              <w:jc w:val="center"/>
              <w:rPr>
                <w:rFonts w:ascii="Times New Roman" w:cs="宋体" w:eastAsia="宋体" w:hAnsi="Times New Roman"/>
                <w:b/>
                <w:sz w:val="18"/>
                <w:szCs w:val="18"/>
              </w:rPr>
            </w:pPr>
          </w:p>
        </w:tc>
        <w:tc>
          <w:tcPr>
            <w:tcW w:w="2127" w:type="dxa"/>
            <w:tcBorders/>
            <w:vAlign w:val="center"/>
          </w:tcPr>
          <w:p>
            <w:pPr>
              <w:pStyle w:val="style0"/>
              <w:jc w:val="center"/>
              <w:rPr>
                <w:rFonts w:ascii="Times New Roman" w:cs="宋体" w:eastAsia="宋体" w:hAnsi="Times New Roman"/>
                <w:b/>
                <w:sz w:val="18"/>
                <w:szCs w:val="18"/>
              </w:rPr>
            </w:pPr>
            <w:r>
              <w:rPr>
                <w:rFonts w:ascii="Times New Roman" w:cs="宋体" w:eastAsia="宋体" w:hAnsi="Times New Roman" w:hint="eastAsia"/>
                <w:b/>
                <w:sz w:val="18"/>
                <w:szCs w:val="18"/>
              </w:rPr>
              <w:t>课程教学</w:t>
            </w:r>
          </w:p>
        </w:tc>
        <w:tc>
          <w:tcPr>
            <w:tcW w:w="1261" w:type="dxa"/>
            <w:tcBorders/>
            <w:vAlign w:val="center"/>
          </w:tcPr>
          <w:p>
            <w:pPr>
              <w:pStyle w:val="style0"/>
              <w:jc w:val="center"/>
              <w:rPr>
                <w:rFonts w:ascii="Times New Roman" w:cs="宋体" w:eastAsia="宋体" w:hAnsi="Times New Roman"/>
                <w:b/>
                <w:sz w:val="18"/>
                <w:szCs w:val="18"/>
              </w:rPr>
            </w:pPr>
            <w:r>
              <w:rPr>
                <w:rFonts w:ascii="Times New Roman" w:cs="宋体" w:eastAsia="宋体" w:hAnsi="Times New Roman" w:hint="eastAsia"/>
                <w:b/>
                <w:sz w:val="18"/>
                <w:szCs w:val="18"/>
              </w:rPr>
              <w:t>实施部门</w:t>
            </w:r>
          </w:p>
        </w:tc>
        <w:tc>
          <w:tcPr>
            <w:tcW w:w="1747" w:type="dxa"/>
            <w:tcBorders/>
            <w:vAlign w:val="center"/>
          </w:tcPr>
          <w:p>
            <w:pPr>
              <w:pStyle w:val="style0"/>
              <w:jc w:val="center"/>
              <w:rPr>
                <w:rFonts w:ascii="Times New Roman" w:cs="宋体" w:eastAsia="宋体" w:hAnsi="Times New Roman"/>
                <w:b/>
                <w:sz w:val="18"/>
                <w:szCs w:val="18"/>
              </w:rPr>
            </w:pPr>
            <w:r>
              <w:rPr>
                <w:rFonts w:ascii="Times New Roman" w:cs="宋体" w:eastAsia="宋体" w:hAnsi="Times New Roman" w:hint="eastAsia"/>
                <w:b/>
                <w:sz w:val="18"/>
                <w:szCs w:val="18"/>
              </w:rPr>
              <w:t>实践育人</w:t>
            </w:r>
          </w:p>
        </w:tc>
        <w:tc>
          <w:tcPr>
            <w:tcW w:w="1739" w:type="dxa"/>
            <w:tcBorders/>
            <w:vAlign w:val="center"/>
          </w:tcPr>
          <w:p>
            <w:pPr>
              <w:pStyle w:val="style0"/>
              <w:jc w:val="center"/>
              <w:rPr>
                <w:rFonts w:ascii="Times New Roman" w:cs="宋体" w:eastAsia="宋体" w:hAnsi="Times New Roman"/>
                <w:b/>
                <w:sz w:val="18"/>
                <w:szCs w:val="18"/>
              </w:rPr>
            </w:pPr>
            <w:r>
              <w:rPr>
                <w:rFonts w:ascii="Times New Roman" w:cs="宋体" w:eastAsia="宋体" w:hAnsi="Times New Roman" w:hint="eastAsia"/>
                <w:b/>
                <w:sz w:val="18"/>
                <w:szCs w:val="18"/>
              </w:rPr>
              <w:t>实施部门</w:t>
            </w:r>
          </w:p>
        </w:tc>
      </w:tr>
      <w:tr>
        <w:tblPrEx/>
        <w:trPr>
          <w:cantSplit/>
        </w:trPr>
        <w:tc>
          <w:tcPr>
            <w:tcW w:w="778" w:type="dxa"/>
            <w:vMerge w:val="restart"/>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入学适应与素质能力培养阶段</w:t>
            </w:r>
          </w:p>
        </w:tc>
        <w:tc>
          <w:tcPr>
            <w:tcW w:w="595" w:type="dxa"/>
            <w:vMerge w:val="restart"/>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第1-2学期</w:t>
            </w: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思想政治素质</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军事训练与军事理论课、思想道德与法治、毛泽东思想与中国特色社会主义理论体系概论、</w:t>
            </w:r>
            <w:r>
              <w:rPr>
                <w:rFonts w:ascii="Times New Roman" w:eastAsia="宋体" w:hAnsi="Times New Roman" w:hint="eastAsia"/>
                <w:kern w:val="0"/>
                <w:sz w:val="18"/>
                <w:szCs w:val="18"/>
              </w:rPr>
              <w:t>红色文化、形势与政策、</w:t>
            </w:r>
            <w:r>
              <w:rPr>
                <w:rFonts w:ascii="Times New Roman" w:cs="宋体" w:eastAsia="宋体" w:hAnsi="Times New Roman" w:hint="eastAsia"/>
                <w:sz w:val="18"/>
                <w:szCs w:val="18"/>
              </w:rPr>
              <w:t>五粮文化育人学思践悟等</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思政部、公共课部、学工处·武装部</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国庆节主题活动、升旗仪式、学生军训教官的选拔与培养</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宣传部、学工处·武装部、团委、专业系</w:t>
            </w:r>
          </w:p>
        </w:tc>
      </w:tr>
      <w:tr>
        <w:tblPrEx/>
        <w:trPr>
          <w:cantSpli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身心健康</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体育与健康、大学生心理健康教育、大学生安全教育、大学生健康教育、劳动教育等</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思政部、公共课部、学工处·武装部、安全保卫处</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心理健康情况筛查、心理情景剧、心理健康讲座、运动会、体育社团、运动队、晨跑活动</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学工处·武装部、团委、公共课部、各专业系</w:t>
            </w:r>
          </w:p>
        </w:tc>
      </w:tr>
      <w:tr>
        <w:tblPrEx/>
        <w:trPr>
          <w:cantSpli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文化素质</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实用大学语文、综合英语、五粮文化育人学思践悟等</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公共课部、思政课部</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演讲比赛、摄影比赛</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宣传部、学工处·武装部、团委、公共课部、各专业系</w:t>
            </w:r>
          </w:p>
        </w:tc>
      </w:tr>
      <w:tr>
        <w:tblPrEx/>
        <w:trPr>
          <w:cantSplit/>
          <w:trHeight w:val="1697" w:hRule="atLeas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职业素质</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kern w:val="0"/>
                <w:sz w:val="18"/>
                <w:szCs w:val="18"/>
              </w:rPr>
              <w:t>思想道德与法治</w:t>
            </w:r>
            <w:r>
              <w:rPr>
                <w:rFonts w:ascii="Times New Roman" w:cs="宋体" w:eastAsia="宋体" w:hAnsi="Times New Roman" w:hint="eastAsia"/>
                <w:bCs/>
                <w:kern w:val="0"/>
                <w:sz w:val="18"/>
                <w:szCs w:val="18"/>
              </w:rPr>
              <w:t>、</w:t>
            </w:r>
            <w:r>
              <w:rPr>
                <w:rFonts w:ascii="Times New Roman" w:cs="宋体" w:eastAsia="宋体" w:hAnsi="Times New Roman" w:hint="eastAsia"/>
                <w:kern w:val="0"/>
                <w:sz w:val="18"/>
                <w:szCs w:val="18"/>
              </w:rPr>
              <w:t>大学生创新创业基础、</w:t>
            </w:r>
            <w:r>
              <w:rPr>
                <w:rFonts w:ascii="Times New Roman" w:cs="宋体" w:eastAsia="宋体" w:hAnsi="Times New Roman" w:hint="eastAsia"/>
                <w:sz w:val="18"/>
                <w:szCs w:val="18"/>
              </w:rPr>
              <w:t>职业生涯规划、信息技术、劳动教育等</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公共课部、思政课部、就业创业学院</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互联网+创业大赛、通用职业技能大赛</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学工处·武装部、团委、就业创业学院、公共课部、各专业系</w:t>
            </w:r>
          </w:p>
        </w:tc>
      </w:tr>
      <w:tr>
        <w:tblPrEx/>
        <w:trPr>
          <w:cantSpli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基本通用能力</w:t>
            </w:r>
          </w:p>
        </w:tc>
        <w:tc>
          <w:tcPr>
            <w:tcW w:w="2127" w:type="dxa"/>
            <w:tcBorders/>
            <w:vAlign w:val="center"/>
          </w:tcPr>
          <w:p>
            <w:pPr>
              <w:pStyle w:val="style0"/>
              <w:rPr>
                <w:rFonts w:ascii="Times New Roman" w:eastAsia="宋体" w:hAnsi="Times New Roman"/>
                <w:sz w:val="18"/>
                <w:szCs w:val="18"/>
              </w:rPr>
            </w:pPr>
            <w:r>
              <w:rPr>
                <w:rFonts w:ascii="Times New Roman" w:cs="宋体" w:eastAsia="宋体" w:hAnsi="Times New Roman" w:hint="eastAsia"/>
                <w:sz w:val="18"/>
                <w:szCs w:val="18"/>
              </w:rPr>
              <w:t>实用大学语文、综合英语、信息技术、劳动教育等</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公共课部</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英语角、数学建模社、有关社团、迎新宣传活动</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学工处、团委、公共课部、各专业系</w:t>
            </w:r>
          </w:p>
        </w:tc>
      </w:tr>
      <w:tr>
        <w:tblPrEx/>
        <w:trPr>
          <w:cantSplit/>
          <w:trHeight w:val="728" w:hRule="atLeas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关键社会能力</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职业生涯规划、实用大学语文、综合英语、信息技术、劳动教育等</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公共课部、就业创业学院</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综治安全专题教育活动、世界粮食、世界读书日、劳动周等活动</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学工处·武装部、团委、党办、安全保卫处、后勤服务中心、各专业系</w:t>
            </w:r>
          </w:p>
        </w:tc>
      </w:tr>
      <w:tr>
        <w:tblPrEx/>
        <w:trPr>
          <w:cantSplit/>
          <w:trHeight w:val="533" w:hRule="atLeas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创新创业能力</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大学生创新创业基础</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就业创业学院</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创客空间、创新创业实践</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团委、就业创业学院、各专业系</w:t>
            </w:r>
          </w:p>
        </w:tc>
      </w:tr>
      <w:tr>
        <w:tblPrEx/>
        <w:trPr>
          <w:cantSplit/>
        </w:trPr>
        <w:tc>
          <w:tcPr>
            <w:tcW w:w="778" w:type="dxa"/>
            <w:vMerge w:val="restart"/>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素质能力提升阶段</w:t>
            </w:r>
          </w:p>
        </w:tc>
        <w:tc>
          <w:tcPr>
            <w:tcW w:w="595" w:type="dxa"/>
            <w:vMerge w:val="restart"/>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第3-4学期</w:t>
            </w: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思想政治素质</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习近平新时代中国特色社会主义思想概论、形势与政策等</w:t>
            </w:r>
          </w:p>
        </w:tc>
        <w:tc>
          <w:tcPr>
            <w:tcW w:w="1261"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思政课部、</w:t>
            </w:r>
          </w:p>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专业系</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升旗仪式、社团活动、社会实践、大学生假期社会调查、专题讲座等</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教务处、学工处·武装部、团委、专业系、党办、宣传部、思政部、公共课部</w:t>
            </w:r>
          </w:p>
        </w:tc>
      </w:tr>
      <w:tr>
        <w:tblPrEx/>
        <w:trPr>
          <w:cantSpli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身心健康</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体育与健康、劳动教育等</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公共课部、学工处·武装部</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体育社团活动、阳光体育运动、晨跑活动等</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学工处·武装部、团委、专业系、公共课部、各专业系</w:t>
            </w:r>
          </w:p>
        </w:tc>
      </w:tr>
      <w:tr>
        <w:tblPrEx/>
        <w:trPr>
          <w:cantSpli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文化素质</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信息技术、五粮文化育人学思践悟、人文素养</w:t>
            </w:r>
            <w:r>
              <w:rPr>
                <w:rFonts w:ascii="Times New Roman" w:cs="宋体" w:eastAsia="宋体" w:hAnsi="Times New Roman"/>
                <w:sz w:val="18"/>
                <w:szCs w:val="18"/>
              </w:rPr>
              <w:t>、</w:t>
            </w:r>
            <w:r>
              <w:rPr>
                <w:rFonts w:ascii="Times New Roman" w:cs="宋体" w:eastAsia="宋体" w:hAnsi="Times New Roman" w:hint="eastAsia"/>
                <w:sz w:val="18"/>
                <w:szCs w:val="18"/>
              </w:rPr>
              <w:t>科学素养、信息素养、</w:t>
            </w:r>
            <w:r>
              <w:rPr>
                <w:rFonts w:ascii="Times New Roman" w:cs="宋体" w:eastAsia="宋体" w:hAnsi="Times New Roman"/>
                <w:sz w:val="18"/>
                <w:szCs w:val="18"/>
              </w:rPr>
              <w:t>美育素养</w:t>
            </w:r>
            <w:r>
              <w:rPr>
                <w:rFonts w:ascii="Times New Roman" w:cs="宋体" w:eastAsia="宋体" w:hAnsi="Times New Roman" w:hint="eastAsia"/>
                <w:sz w:val="18"/>
                <w:szCs w:val="18"/>
              </w:rPr>
              <w:t>公共选修课</w:t>
            </w:r>
            <w:r>
              <w:rPr>
                <w:rFonts w:ascii="Times New Roman" w:cs="宋体" w:eastAsia="宋体" w:hAnsi="Times New Roman"/>
                <w:sz w:val="18"/>
                <w:szCs w:val="18"/>
              </w:rPr>
              <w:t>等</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公共课部、思政课部、</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演讲比赛、摄影比赛</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宣传部、学工处·武装部、团委、公共课部、各专业系</w:t>
            </w:r>
          </w:p>
        </w:tc>
      </w:tr>
      <w:tr>
        <w:tblPrEx/>
        <w:trPr>
          <w:cantSpli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职业素质</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职业生涯规划、劳动教育等</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公共课部、就业创业学院</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技能节比赛</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教务处、公共课部、思政课部、各专业系</w:t>
            </w:r>
          </w:p>
        </w:tc>
      </w:tr>
      <w:tr>
        <w:tblPrEx/>
        <w:trPr>
          <w:cantSpli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基本通用能力</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劳动教育、大学生就业指导等</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公共课部、就业创业学院</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英语角、5.25专题活动、心理健康专题讲座等</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学工处·武装部、团委、公共课部、思政部</w:t>
            </w:r>
            <w:r>
              <w:rPr>
                <w:rFonts w:ascii="Times New Roman" w:cs="宋体" w:eastAsia="宋体" w:hAnsi="Times New Roman"/>
                <w:sz w:val="18"/>
                <w:szCs w:val="18"/>
              </w:rPr>
              <w:t>、</w:t>
            </w:r>
            <w:r>
              <w:rPr>
                <w:rFonts w:ascii="Times New Roman" w:cs="宋体" w:eastAsia="宋体" w:hAnsi="Times New Roman" w:hint="eastAsia"/>
                <w:sz w:val="18"/>
                <w:szCs w:val="18"/>
              </w:rPr>
              <w:t>各专业系</w:t>
            </w:r>
          </w:p>
        </w:tc>
      </w:tr>
      <w:tr>
        <w:tblPrEx/>
        <w:trPr>
          <w:cantSplit/>
          <w:trHeight w:val="1220" w:hRule="atLeas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关键社会能力</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职业生涯规划、劳动教育、创新创业实践等</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公共课部、就业创业学院、各专业系</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社团活动、职前专项培训、社会实践、大学生假期社会调查、迎新接待、专题讲座等</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学工处·武装部、团委、专业系、党办、宣传部、思政课部、公共课部</w:t>
            </w:r>
          </w:p>
        </w:tc>
      </w:tr>
      <w:tr>
        <w:tblPrEx/>
        <w:trPr>
          <w:cantSplit/>
          <w:trHeight w:val="682" w:hRule="atLeas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创新创业能力</w:t>
            </w:r>
          </w:p>
        </w:tc>
        <w:tc>
          <w:tcPr>
            <w:tcW w:w="2127" w:type="dxa"/>
            <w:tcBorders/>
            <w:vAlign w:val="center"/>
          </w:tcPr>
          <w:p>
            <w:pPr>
              <w:pStyle w:val="style0"/>
              <w:jc w:val="center"/>
              <w:rPr>
                <w:rFonts w:ascii="Times New Roman" w:eastAsia="宋体" w:hAnsi="Times New Roman"/>
                <w:sz w:val="18"/>
                <w:szCs w:val="18"/>
              </w:rPr>
            </w:pPr>
            <w:r>
              <w:rPr>
                <w:rFonts w:ascii="Times New Roman" w:cs="仿宋" w:eastAsia="宋体" w:hAnsi="Times New Roman" w:hint="eastAsia"/>
                <w:kern w:val="0"/>
                <w:sz w:val="18"/>
                <w:szCs w:val="18"/>
              </w:rPr>
              <w:t>创新</w:t>
            </w:r>
            <w:r>
              <w:rPr>
                <w:rFonts w:ascii="Times New Roman" w:cs="仿宋" w:eastAsia="宋体" w:hAnsi="Times New Roman"/>
                <w:kern w:val="0"/>
                <w:sz w:val="18"/>
                <w:szCs w:val="18"/>
              </w:rPr>
              <w:t>创业类选修课、</w:t>
            </w:r>
            <w:r>
              <w:rPr>
                <w:rFonts w:ascii="Times New Roman" w:cs="仿宋" w:eastAsia="宋体" w:hAnsi="Times New Roman" w:hint="eastAsia"/>
                <w:kern w:val="0"/>
                <w:sz w:val="18"/>
                <w:szCs w:val="18"/>
              </w:rPr>
              <w:t>大学生就业</w:t>
            </w:r>
            <w:r>
              <w:rPr>
                <w:rFonts w:ascii="Times New Roman" w:cs="仿宋" w:eastAsia="宋体" w:hAnsi="Times New Roman"/>
                <w:kern w:val="0"/>
                <w:sz w:val="18"/>
                <w:szCs w:val="18"/>
              </w:rPr>
              <w:t>指导等课程</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就业创业学院</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创新创业实践、创业大赛</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学工处·武装部、团委、就业创业学院、各专业系</w:t>
            </w:r>
          </w:p>
        </w:tc>
      </w:tr>
      <w:tr>
        <w:tblPrEx/>
        <w:trPr>
          <w:cantSplit/>
          <w:trHeight w:val="1050" w:hRule="atLeast"/>
        </w:trPr>
        <w:tc>
          <w:tcPr>
            <w:tcW w:w="778" w:type="dxa"/>
            <w:vMerge w:val="restart"/>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毕业教育和适应社会阶段</w:t>
            </w:r>
          </w:p>
        </w:tc>
        <w:tc>
          <w:tcPr>
            <w:tcW w:w="595" w:type="dxa"/>
            <w:vMerge w:val="restart"/>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第5-6学期</w:t>
            </w: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思想政治素质</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专题讲座</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党办、宣传部、思政课部</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升旗仪式、大学生应征入伍宣传教育活动、感恩教育</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学工处·武装部、团委、党办、宣传部、就业创业学院、教务处、专业系</w:t>
            </w:r>
          </w:p>
        </w:tc>
      </w:tr>
      <w:tr>
        <w:tblPrEx/>
        <w:trPr>
          <w:cantSplit/>
          <w:trHeight w:val="728" w:hRule="atLeas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身心健康</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毕业生心理健康讲座</w:t>
            </w:r>
          </w:p>
        </w:tc>
        <w:tc>
          <w:tcPr>
            <w:tcW w:w="1261" w:type="dxa"/>
            <w:tcBorders/>
            <w:vAlign w:val="center"/>
          </w:tcPr>
          <w:p>
            <w:pPr>
              <w:pStyle w:val="style0"/>
              <w:jc w:val="center"/>
              <w:rPr>
                <w:rFonts w:ascii="Times New Roman" w:eastAsia="宋体" w:hAnsi="Times New Roman"/>
                <w:sz w:val="18"/>
                <w:szCs w:val="18"/>
              </w:rPr>
            </w:pPr>
            <w:r>
              <w:rPr>
                <w:rFonts w:ascii="Times New Roman" w:eastAsia="宋体" w:hAnsi="Times New Roman" w:hint="eastAsia"/>
                <w:sz w:val="18"/>
                <w:szCs w:val="18"/>
              </w:rPr>
              <w:t>思政课部</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运动会、体育社团、运动队、5.25专题活动</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学工处·武装部、团委、党办、宣传部、安全保卫处、公共课部、各专业系</w:t>
            </w:r>
          </w:p>
        </w:tc>
      </w:tr>
      <w:tr>
        <w:tblPrEx/>
        <w:trPr>
          <w:cantSpli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文化素质</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学生社团</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公共课部、各专业系</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策划方案</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学工处·武装部、团委、各专业系</w:t>
            </w:r>
          </w:p>
        </w:tc>
      </w:tr>
      <w:tr>
        <w:tblPrEx/>
        <w:trPr>
          <w:cantSpli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职业素质</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社会实践</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各专业系</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策划方案</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学工处·武装部、团委、各专业系</w:t>
            </w:r>
          </w:p>
        </w:tc>
      </w:tr>
      <w:tr>
        <w:tblPrEx/>
        <w:trPr>
          <w:cantSplit/>
          <w:trHeight w:val="656" w:hRule="atLeas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基本通用能力</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毕业设计</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各专业系</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企业见习、专业竞赛</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教务处、就业创业学院、各专业系</w:t>
            </w:r>
          </w:p>
        </w:tc>
      </w:tr>
      <w:tr>
        <w:tblPrEx/>
        <w:trPr>
          <w:cantSplit/>
          <w:trHeight w:val="698" w:hRule="atLeas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关键社会能力</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毕业岗位实习</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各专业系</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感恩教育、毕业典礼、创新创业社团活动、创客空间活动、毕业巡演</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院办、党办、宣传部、学工处·武装部、团委、就业创业学院、各专业系</w:t>
            </w:r>
          </w:p>
        </w:tc>
      </w:tr>
      <w:tr>
        <w:tblPrEx/>
        <w:trPr>
          <w:cantSplit/>
          <w:trHeight w:val="698" w:hRule="atLeast"/>
        </w:trPr>
        <w:tc>
          <w:tcPr>
            <w:tcW w:w="778" w:type="dxa"/>
            <w:vMerge w:val="continue"/>
            <w:tcBorders/>
            <w:vAlign w:val="center"/>
          </w:tcPr>
          <w:p>
            <w:pPr>
              <w:pStyle w:val="style0"/>
              <w:jc w:val="center"/>
              <w:rPr>
                <w:rFonts w:ascii="Times New Roman" w:cs="宋体" w:eastAsia="宋体" w:hAnsi="Times New Roman"/>
                <w:sz w:val="18"/>
                <w:szCs w:val="18"/>
              </w:rPr>
            </w:pPr>
          </w:p>
        </w:tc>
        <w:tc>
          <w:tcPr>
            <w:tcW w:w="595" w:type="dxa"/>
            <w:vMerge w:val="continue"/>
            <w:tcBorders/>
            <w:vAlign w:val="center"/>
          </w:tcPr>
          <w:p>
            <w:pPr>
              <w:pStyle w:val="style0"/>
              <w:jc w:val="center"/>
              <w:rPr>
                <w:rFonts w:ascii="Times New Roman" w:cs="宋体" w:eastAsia="宋体" w:hAnsi="Times New Roman"/>
                <w:sz w:val="18"/>
                <w:szCs w:val="18"/>
              </w:rPr>
            </w:pPr>
          </w:p>
        </w:tc>
        <w:tc>
          <w:tcPr>
            <w:tcW w:w="587" w:type="dxa"/>
            <w:tcBorders/>
            <w:vAlign w:val="center"/>
          </w:tcPr>
          <w:p>
            <w:pPr>
              <w:pStyle w:val="style0"/>
              <w:jc w:val="center"/>
              <w:rPr>
                <w:rFonts w:ascii="Times New Roman" w:cs="宋体" w:eastAsia="宋体" w:hAnsi="Times New Roman"/>
                <w:sz w:val="18"/>
                <w:szCs w:val="18"/>
              </w:rPr>
            </w:pPr>
            <w:r>
              <w:rPr>
                <w:rFonts w:ascii="Times New Roman" w:cs="宋体" w:eastAsia="宋体" w:hAnsi="Times New Roman" w:hint="eastAsia"/>
                <w:sz w:val="18"/>
                <w:szCs w:val="18"/>
              </w:rPr>
              <w:t>创新创业能力</w:t>
            </w:r>
          </w:p>
        </w:tc>
        <w:tc>
          <w:tcPr>
            <w:tcW w:w="212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创新创业实践</w:t>
            </w:r>
          </w:p>
        </w:tc>
        <w:tc>
          <w:tcPr>
            <w:tcW w:w="1261"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各专业系</w:t>
            </w:r>
          </w:p>
        </w:tc>
        <w:tc>
          <w:tcPr>
            <w:tcW w:w="1747"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创业讲座、培训</w:t>
            </w:r>
          </w:p>
        </w:tc>
        <w:tc>
          <w:tcPr>
            <w:tcW w:w="1739" w:type="dxa"/>
            <w:tcBorders/>
            <w:vAlign w:val="center"/>
          </w:tcPr>
          <w:p>
            <w:pPr>
              <w:pStyle w:val="style0"/>
              <w:jc w:val="center"/>
              <w:rPr>
                <w:rFonts w:ascii="Times New Roman" w:eastAsia="宋体" w:hAnsi="Times New Roman"/>
                <w:sz w:val="18"/>
                <w:szCs w:val="18"/>
              </w:rPr>
            </w:pPr>
            <w:r>
              <w:rPr>
                <w:rFonts w:ascii="Times New Roman" w:cs="宋体" w:eastAsia="宋体" w:hAnsi="Times New Roman" w:hint="eastAsia"/>
                <w:sz w:val="18"/>
                <w:szCs w:val="18"/>
              </w:rPr>
              <w:t>就业创业学院、各专业系</w:t>
            </w:r>
          </w:p>
        </w:tc>
      </w:tr>
    </w:tbl>
    <w:p>
      <w:pPr>
        <w:pStyle w:val="style0"/>
        <w:ind w:firstLine="420" w:firstLineChars="200"/>
        <w:rPr>
          <w:rFonts w:ascii="Times New Roman" w:eastAsia="宋体" w:hAnsi="Times New Roman"/>
        </w:rPr>
      </w:pPr>
    </w:p>
    <w:p>
      <w:pPr>
        <w:pStyle w:val="style4103"/>
        <w:ind w:firstLine="0" w:firstLineChars="0"/>
        <w:rPr>
          <w:rFonts w:ascii="Times New Roman" w:eastAsia="宋体" w:hAnsi="Times New Roman"/>
          <w:b/>
        </w:rPr>
      </w:pPr>
      <w:r>
        <w:rPr>
          <w:rFonts w:ascii="Times New Roman" w:eastAsia="宋体" w:hAnsi="Times New Roman" w:hint="eastAsia"/>
          <w:b/>
        </w:rPr>
        <w:t xml:space="preserve">  </w:t>
      </w:r>
      <w:r>
        <w:rPr>
          <w:rFonts w:ascii="Times New Roman" w:eastAsia="宋体" w:hAnsi="Times New Roman" w:hint="eastAsia"/>
          <w:bCs/>
        </w:rPr>
        <w:t xml:space="preserve">   2.专业职业能力、素质与创新创业能力教育的组织实施</w:t>
      </w:r>
    </w:p>
    <w:p>
      <w:pPr>
        <w:pStyle w:val="style0"/>
        <w:snapToGrid w:val="false"/>
        <w:spacing w:lineRule="exact" w:line="380"/>
        <w:ind w:firstLine="420" w:firstLineChars="200"/>
        <w:rPr>
          <w:rFonts w:ascii="宋体" w:cs="Cambria Math" w:eastAsia="宋体" w:hAnsi="宋体"/>
          <w:szCs w:val="21"/>
        </w:rPr>
      </w:pPr>
      <w:r>
        <w:rPr>
          <w:rFonts w:ascii="宋体" w:cs="Cambria Math" w:eastAsia="宋体" w:hAnsi="宋体" w:hint="eastAsia"/>
          <w:szCs w:val="21"/>
        </w:rPr>
        <w:t>电子商务专业在院系领导和全体专业教师的共同努力下，已经取得了明显的成绩。本专业在全省同类院校中处于领先地位，但与全国先进水平在设备投入、师资力量和教学理念的更新上还有一定的差距，这也将是今后几年我们追赶的目标。目前我国电子商务专业人才的短缺，已经成为制约电子商务发展的瓶颈。在此背景下，我们作为全院人数最多的院级示范专业，积极进行一体化课程的改革，并取得显著成果。并且电子商务专业将全力打造，以淘宝、天猫、京东为平台，与多家电商服务公司实行订单培养，重点培养电子商务应用、开发、管理的高级人才，毕业生主要面向大型电子商务服务公司，从事网络推广、网店运营、视觉营销设计、网店客服管理等工作的专业特色。</w:t>
      </w:r>
    </w:p>
    <w:p>
      <w:pPr>
        <w:pStyle w:val="style0"/>
        <w:snapToGrid w:val="false"/>
        <w:spacing w:lineRule="exact" w:line="380"/>
        <w:ind w:firstLine="420" w:firstLineChars="200"/>
        <w:rPr>
          <w:rFonts w:ascii="宋体" w:cs="宋体" w:eastAsia="宋体" w:hAnsi="宋体"/>
        </w:rPr>
      </w:pPr>
      <w:r>
        <w:rPr>
          <w:rFonts w:ascii="宋体" w:cs="Cambria Math" w:eastAsia="宋体" w:hAnsi="宋体" w:hint="eastAsia"/>
          <w:szCs w:val="21"/>
        </w:rPr>
        <w:t>电子商务专业学生的专业职业能力、素质和</w:t>
      </w:r>
      <w:r>
        <w:rPr>
          <w:rFonts w:ascii="宋体" w:cs="宋体" w:eastAsia="宋体" w:hAnsi="宋体" w:hint="eastAsia"/>
          <w:bCs/>
        </w:rPr>
        <w:t>创新创业能力教育按照职业能力成长历程进行组织实施，也</w:t>
      </w:r>
      <w:r>
        <w:rPr>
          <w:rFonts w:ascii="宋体" w:cs="Cambria Math" w:eastAsia="宋体" w:hAnsi="宋体" w:hint="eastAsia"/>
          <w:szCs w:val="21"/>
        </w:rPr>
        <w:t>分成三个阶段四个时期，由</w:t>
      </w:r>
      <w:r>
        <w:rPr>
          <w:rFonts w:ascii="宋体" w:cs="宋体" w:eastAsia="宋体" w:hAnsi="宋体" w:hint="eastAsia"/>
        </w:rPr>
        <w:t>教务处、继续教育处、专业系、学工处·团委·武装部、党办﹒宣传部、就业处、保卫处及行业企业等部门协同组织在校内和校外实施。其中，三个阶段四个时期，主要包括职业探索阶段（即职业能力成长历程中的“新手期”）、职前素质提升阶段（即职业能力成长历程中的“生手期”、“熟手期”）、职前素质冲刺阶段（即职业能力成长历程中的“能手期”）。</w:t>
      </w:r>
    </w:p>
    <w:p>
      <w:pPr>
        <w:pStyle w:val="style0"/>
        <w:spacing w:lineRule="exact" w:line="380"/>
        <w:ind w:firstLine="420" w:firstLineChars="200"/>
        <w:rPr>
          <w:rFonts w:ascii="宋体" w:cs="宋体" w:eastAsia="宋体" w:hAnsi="宋体"/>
        </w:rPr>
      </w:pPr>
      <w:r>
        <w:rPr>
          <w:rFonts w:ascii="宋体" w:cs="宋体" w:eastAsia="宋体" w:hAnsi="宋体" w:hint="eastAsia"/>
        </w:rPr>
        <w:t>职业探索阶段（即职业能力成长历程中的“新手期”）主要通过入学教育活动、课程教学，参加专业介绍讲座、企业专家讲座以及到企业进行认知实习等创新创业教育和实践育人活动，引导本专业新同学对电子商务进行一个全面的认知阶段，具备简单的电子商务实操能力，同时探索职业目标，为正确的规划职业生涯奠定基础。</w:t>
      </w:r>
    </w:p>
    <w:p>
      <w:pPr>
        <w:pStyle w:val="style0"/>
        <w:snapToGrid w:val="false"/>
        <w:spacing w:lineRule="exact" w:line="380"/>
        <w:ind w:firstLine="420" w:firstLineChars="200"/>
        <w:rPr>
          <w:rFonts w:ascii="宋体" w:cs="宋体" w:eastAsia="宋体" w:hAnsi="宋体"/>
        </w:rPr>
      </w:pPr>
      <w:r>
        <w:rPr>
          <w:rFonts w:ascii="宋体" w:cs="宋体" w:eastAsia="宋体" w:hAnsi="宋体" w:hint="eastAsia"/>
        </w:rPr>
        <w:t>职前素质提升阶段（即职业能力成长历程中的“生手期”、“熟手期”）主要通过课程教学、参加电子商务各类技能竞赛、专题讲座、社会实践、尝试淘宝开店等活动，培养学生发现问题、分析问题的能力，提升学生社交及团队合作能力，具备电商领域中</w:t>
      </w:r>
      <w:r>
        <w:rPr>
          <w:rFonts w:ascii="宋体" w:cs="Cambria Math" w:eastAsia="宋体" w:hAnsi="宋体" w:hint="eastAsia"/>
          <w:szCs w:val="21"/>
        </w:rPr>
        <w:t>客服、美工、运营实操的良好能力</w:t>
      </w:r>
      <w:r>
        <w:rPr>
          <w:rFonts w:ascii="宋体" w:cs="宋体" w:eastAsia="宋体" w:hAnsi="宋体" w:hint="eastAsia"/>
        </w:rPr>
        <w:t>，增强和提高学生创新精神、创业意识和创新创业能力，成为业务上的“熟手”。</w:t>
      </w:r>
    </w:p>
    <w:p>
      <w:pPr>
        <w:pStyle w:val="style0"/>
        <w:spacing w:lineRule="exact" w:line="380"/>
        <w:ind w:firstLine="420"/>
        <w:rPr>
          <w:rFonts w:ascii="Cambria Math" w:cs="Cambria Math" w:eastAsia="宋体" w:hAnsi="Cambria Math"/>
        </w:rPr>
      </w:pPr>
      <w:r>
        <w:rPr>
          <w:rFonts w:ascii="宋体" w:cs="宋体" w:eastAsia="宋体" w:hAnsi="宋体" w:hint="eastAsia"/>
        </w:rPr>
        <w:t>职前素质冲刺阶段（即职业能力成长历程中的“能手期”）主要通过课程教学、淘宝网店的运营，职前素质教育培训或专题讲座、竞赛等活动，培养学生解决问题及处理复杂异常情况的能力，具备电子商务中数据分析和精准营销能力</w:t>
      </w:r>
      <w:r>
        <w:rPr>
          <w:rFonts w:ascii="Cambria Math" w:cs="Cambria Math" w:eastAsia="宋体" w:hAnsi="Cambria Math" w:hint="eastAsia"/>
        </w:rPr>
        <w:t>，同时引导学生进行入职前的心理与情绪调节，争取成为业务上的“能手”。</w:t>
      </w:r>
    </w:p>
    <w:p>
      <w:pPr>
        <w:pStyle w:val="style0"/>
        <w:jc w:val="center"/>
        <w:rPr>
          <w:rFonts w:ascii="Times New Roman" w:cs="Times New Roman" w:eastAsia="宋体" w:hAnsi="Times New Roman"/>
          <w:b/>
        </w:rPr>
      </w:pPr>
      <w:r>
        <w:rPr>
          <w:rFonts w:ascii="Times New Roman" w:cs="Times New Roman" w:eastAsia="宋体" w:hAnsi="Times New Roman" w:hint="eastAsia"/>
          <w:b/>
        </w:rPr>
        <w:t>专业职业素质教育教学与创新实践育人组织安排表</w:t>
      </w:r>
    </w:p>
    <w:tbl>
      <w:tblPr>
        <w:tblStyle w:val="style10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17"/>
        <w:gridCol w:w="709"/>
        <w:gridCol w:w="1701"/>
        <w:gridCol w:w="1134"/>
        <w:gridCol w:w="1134"/>
        <w:gridCol w:w="1417"/>
        <w:gridCol w:w="1276"/>
      </w:tblGrid>
      <w:tr>
        <w:trPr>
          <w:jc w:val="center"/>
        </w:trPr>
        <w:tc>
          <w:tcPr>
            <w:tcW w:w="817" w:type="dxa"/>
            <w:vMerge w:val="restart"/>
            <w:tcBorders/>
            <w:vAlign w:val="center"/>
          </w:tcPr>
          <w:p>
            <w:pPr>
              <w:pStyle w:val="style0"/>
              <w:jc w:val="center"/>
              <w:rPr>
                <w:rFonts w:ascii="宋体" w:cs="宋体" w:eastAsia="宋体" w:hAnsi="宋体"/>
                <w:b/>
                <w:bCs/>
                <w:sz w:val="18"/>
                <w:szCs w:val="18"/>
              </w:rPr>
            </w:pPr>
            <w:r>
              <w:rPr>
                <w:rFonts w:ascii="宋体" w:cs="宋体" w:eastAsia="宋体" w:hAnsi="宋体" w:hint="eastAsia"/>
                <w:b/>
                <w:bCs/>
                <w:sz w:val="18"/>
                <w:szCs w:val="18"/>
              </w:rPr>
              <w:t>培养阶段</w:t>
            </w:r>
          </w:p>
        </w:tc>
        <w:tc>
          <w:tcPr>
            <w:tcW w:w="709" w:type="dxa"/>
            <w:vMerge w:val="restart"/>
            <w:tcBorders/>
            <w:vAlign w:val="center"/>
          </w:tcPr>
          <w:p>
            <w:pPr>
              <w:pStyle w:val="style0"/>
              <w:jc w:val="center"/>
              <w:rPr>
                <w:rFonts w:ascii="宋体" w:cs="宋体" w:eastAsia="宋体" w:hAnsi="宋体"/>
                <w:b/>
                <w:bCs/>
                <w:sz w:val="18"/>
                <w:szCs w:val="18"/>
              </w:rPr>
            </w:pPr>
            <w:r>
              <w:rPr>
                <w:rFonts w:ascii="宋体" w:cs="宋体" w:eastAsia="宋体" w:hAnsi="宋体" w:hint="eastAsia"/>
                <w:b/>
                <w:bCs/>
                <w:sz w:val="18"/>
                <w:szCs w:val="18"/>
              </w:rPr>
              <w:t>实施</w:t>
            </w:r>
          </w:p>
          <w:p>
            <w:pPr>
              <w:pStyle w:val="style0"/>
              <w:jc w:val="center"/>
              <w:rPr>
                <w:rFonts w:ascii="宋体" w:cs="宋体" w:eastAsia="宋体" w:hAnsi="宋体"/>
                <w:b/>
                <w:bCs/>
                <w:sz w:val="18"/>
                <w:szCs w:val="18"/>
              </w:rPr>
            </w:pPr>
            <w:r>
              <w:rPr>
                <w:rFonts w:ascii="宋体" w:cs="宋体" w:eastAsia="宋体" w:hAnsi="宋体" w:hint="eastAsia"/>
                <w:b/>
                <w:bCs/>
                <w:sz w:val="18"/>
                <w:szCs w:val="18"/>
              </w:rPr>
              <w:t>学期</w:t>
            </w:r>
          </w:p>
        </w:tc>
        <w:tc>
          <w:tcPr>
            <w:tcW w:w="1701" w:type="dxa"/>
            <w:vMerge w:val="restart"/>
            <w:tcBorders/>
            <w:vAlign w:val="center"/>
          </w:tcPr>
          <w:p>
            <w:pPr>
              <w:pStyle w:val="style0"/>
              <w:jc w:val="center"/>
              <w:rPr>
                <w:rFonts w:ascii="宋体" w:cs="宋体" w:eastAsia="宋体" w:hAnsi="宋体"/>
                <w:b/>
                <w:bCs/>
                <w:sz w:val="18"/>
                <w:szCs w:val="18"/>
              </w:rPr>
            </w:pPr>
            <w:r>
              <w:rPr>
                <w:rFonts w:ascii="宋体" w:cs="宋体" w:eastAsia="宋体" w:hAnsi="宋体" w:hint="eastAsia"/>
                <w:b/>
                <w:bCs/>
                <w:sz w:val="18"/>
                <w:szCs w:val="18"/>
              </w:rPr>
              <w:t>培养与提升内容</w:t>
            </w:r>
          </w:p>
        </w:tc>
        <w:tc>
          <w:tcPr>
            <w:tcW w:w="4961" w:type="dxa"/>
            <w:gridSpan w:val="4"/>
            <w:tcBorders/>
            <w:vAlign w:val="center"/>
          </w:tcPr>
          <w:p>
            <w:pPr>
              <w:pStyle w:val="style0"/>
              <w:jc w:val="center"/>
              <w:rPr>
                <w:rFonts w:ascii="宋体" w:cs="宋体" w:eastAsia="宋体" w:hAnsi="宋体"/>
                <w:b/>
                <w:bCs/>
                <w:sz w:val="18"/>
                <w:szCs w:val="18"/>
              </w:rPr>
            </w:pPr>
            <w:r>
              <w:rPr>
                <w:rFonts w:ascii="宋体" w:cs="宋体" w:eastAsia="宋体" w:hAnsi="宋体" w:hint="eastAsia"/>
                <w:b/>
                <w:bCs/>
                <w:sz w:val="18"/>
                <w:szCs w:val="18"/>
              </w:rPr>
              <w:t>组织实施方式与部门</w:t>
            </w:r>
          </w:p>
        </w:tc>
      </w:tr>
      <w:tr>
        <w:tblPrEx/>
        <w:trPr>
          <w:jc w:val="center"/>
        </w:trPr>
        <w:tc>
          <w:tcPr>
            <w:tcW w:w="817" w:type="dxa"/>
            <w:vMerge w:val="continue"/>
            <w:tcBorders/>
            <w:vAlign w:val="center"/>
          </w:tcPr>
          <w:p>
            <w:pPr>
              <w:pStyle w:val="style0"/>
              <w:jc w:val="center"/>
              <w:rPr>
                <w:rFonts w:ascii="宋体" w:cs="宋体" w:eastAsia="宋体" w:hAnsi="宋体"/>
                <w:b/>
                <w:bCs/>
                <w:sz w:val="18"/>
                <w:szCs w:val="18"/>
              </w:rPr>
            </w:pPr>
          </w:p>
        </w:tc>
        <w:tc>
          <w:tcPr>
            <w:tcW w:w="709" w:type="dxa"/>
            <w:vMerge w:val="continue"/>
            <w:tcBorders/>
            <w:vAlign w:val="center"/>
          </w:tcPr>
          <w:p>
            <w:pPr>
              <w:pStyle w:val="style0"/>
              <w:jc w:val="center"/>
              <w:rPr>
                <w:rFonts w:ascii="宋体" w:cs="宋体" w:eastAsia="宋体" w:hAnsi="宋体"/>
                <w:b/>
                <w:bCs/>
                <w:sz w:val="18"/>
                <w:szCs w:val="18"/>
              </w:rPr>
            </w:pPr>
          </w:p>
        </w:tc>
        <w:tc>
          <w:tcPr>
            <w:tcW w:w="1701" w:type="dxa"/>
            <w:vMerge w:val="continue"/>
            <w:tcBorders/>
            <w:vAlign w:val="center"/>
          </w:tcPr>
          <w:p>
            <w:pPr>
              <w:pStyle w:val="style0"/>
              <w:jc w:val="center"/>
              <w:rPr>
                <w:rFonts w:ascii="宋体" w:cs="宋体" w:eastAsia="宋体" w:hAnsi="宋体"/>
                <w:b/>
                <w:bCs/>
                <w:sz w:val="18"/>
                <w:szCs w:val="18"/>
              </w:rPr>
            </w:pPr>
          </w:p>
        </w:tc>
        <w:tc>
          <w:tcPr>
            <w:tcW w:w="1134" w:type="dxa"/>
            <w:tcBorders/>
            <w:vAlign w:val="center"/>
          </w:tcPr>
          <w:p>
            <w:pPr>
              <w:pStyle w:val="style0"/>
              <w:jc w:val="center"/>
              <w:rPr>
                <w:rFonts w:ascii="宋体" w:cs="宋体" w:eastAsia="宋体" w:hAnsi="宋体"/>
                <w:b/>
                <w:bCs/>
                <w:sz w:val="18"/>
                <w:szCs w:val="18"/>
              </w:rPr>
            </w:pPr>
            <w:r>
              <w:rPr>
                <w:rFonts w:ascii="宋体" w:cs="宋体" w:eastAsia="宋体" w:hAnsi="宋体" w:hint="eastAsia"/>
                <w:b/>
                <w:bCs/>
                <w:sz w:val="18"/>
                <w:szCs w:val="18"/>
              </w:rPr>
              <w:t>课程教学</w:t>
            </w:r>
          </w:p>
        </w:tc>
        <w:tc>
          <w:tcPr>
            <w:tcW w:w="1134" w:type="dxa"/>
            <w:tcBorders/>
            <w:vAlign w:val="center"/>
          </w:tcPr>
          <w:p>
            <w:pPr>
              <w:pStyle w:val="style0"/>
              <w:jc w:val="center"/>
              <w:rPr>
                <w:rFonts w:ascii="宋体" w:cs="宋体" w:eastAsia="宋体" w:hAnsi="宋体"/>
                <w:b/>
                <w:bCs/>
                <w:sz w:val="18"/>
                <w:szCs w:val="18"/>
              </w:rPr>
            </w:pPr>
            <w:r>
              <w:rPr>
                <w:rFonts w:ascii="宋体" w:cs="宋体" w:eastAsia="宋体" w:hAnsi="宋体" w:hint="eastAsia"/>
                <w:b/>
                <w:bCs/>
                <w:sz w:val="18"/>
                <w:szCs w:val="18"/>
              </w:rPr>
              <w:t>实施部门</w:t>
            </w:r>
          </w:p>
        </w:tc>
        <w:tc>
          <w:tcPr>
            <w:tcW w:w="1417" w:type="dxa"/>
            <w:tcBorders/>
            <w:vAlign w:val="center"/>
          </w:tcPr>
          <w:p>
            <w:pPr>
              <w:pStyle w:val="style0"/>
              <w:jc w:val="center"/>
              <w:rPr>
                <w:rFonts w:ascii="宋体" w:cs="宋体" w:eastAsia="宋体" w:hAnsi="宋体"/>
                <w:b/>
                <w:bCs/>
                <w:sz w:val="18"/>
                <w:szCs w:val="18"/>
              </w:rPr>
            </w:pPr>
            <w:r>
              <w:rPr>
                <w:rFonts w:ascii="宋体" w:cs="宋体" w:eastAsia="宋体" w:hAnsi="宋体" w:hint="eastAsia"/>
                <w:b/>
                <w:bCs/>
                <w:sz w:val="18"/>
                <w:szCs w:val="18"/>
              </w:rPr>
              <w:t>实践育人</w:t>
            </w:r>
          </w:p>
        </w:tc>
        <w:tc>
          <w:tcPr>
            <w:tcW w:w="1276" w:type="dxa"/>
            <w:tcBorders/>
            <w:vAlign w:val="center"/>
          </w:tcPr>
          <w:p>
            <w:pPr>
              <w:pStyle w:val="style0"/>
              <w:jc w:val="center"/>
              <w:rPr>
                <w:rFonts w:ascii="宋体" w:cs="宋体" w:eastAsia="宋体" w:hAnsi="宋体"/>
                <w:b/>
                <w:bCs/>
                <w:sz w:val="18"/>
                <w:szCs w:val="18"/>
              </w:rPr>
            </w:pPr>
            <w:r>
              <w:rPr>
                <w:rFonts w:ascii="宋体" w:cs="宋体" w:eastAsia="宋体" w:hAnsi="宋体" w:hint="eastAsia"/>
                <w:b/>
                <w:bCs/>
                <w:sz w:val="18"/>
                <w:szCs w:val="18"/>
              </w:rPr>
              <w:t>实施部门</w:t>
            </w:r>
          </w:p>
        </w:tc>
      </w:tr>
      <w:tr>
        <w:tblPrEx/>
        <w:trPr>
          <w:trHeight w:val="1692" w:hRule="atLeast"/>
          <w:jc w:val="center"/>
        </w:trPr>
        <w:tc>
          <w:tcPr>
            <w:tcW w:w="817"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职业探索阶段</w:t>
            </w:r>
          </w:p>
        </w:tc>
        <w:tc>
          <w:tcPr>
            <w:tcW w:w="709"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第1学期（新手期）</w:t>
            </w:r>
          </w:p>
        </w:tc>
        <w:tc>
          <w:tcPr>
            <w:tcW w:w="1701"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创业观念</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网店运营、市场营销</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课程实训</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restart"/>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职前素质提升阶段</w:t>
            </w:r>
          </w:p>
        </w:tc>
        <w:tc>
          <w:tcPr>
            <w:tcW w:w="709" w:type="dxa"/>
            <w:vMerge w:val="restart"/>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第2、3学期（生手期）</w:t>
            </w:r>
          </w:p>
          <w:p>
            <w:pPr>
              <w:pStyle w:val="style0"/>
              <w:jc w:val="center"/>
              <w:rPr>
                <w:rFonts w:ascii="宋体" w:cs="宋体" w:eastAsia="宋体" w:hAnsi="宋体"/>
                <w:sz w:val="18"/>
                <w:szCs w:val="18"/>
              </w:rPr>
            </w:pPr>
          </w:p>
        </w:tc>
        <w:tc>
          <w:tcPr>
            <w:tcW w:w="1701" w:type="dxa"/>
            <w:tcBorders/>
            <w:vAlign w:val="center"/>
          </w:tcPr>
          <w:p>
            <w:pPr>
              <w:pStyle w:val="style0"/>
              <w:rPr>
                <w:rFonts w:ascii="宋体" w:cs="宋体" w:eastAsia="宋体" w:hAnsi="宋体"/>
                <w:sz w:val="18"/>
                <w:szCs w:val="18"/>
              </w:rPr>
            </w:pPr>
            <w:r>
              <w:rPr>
                <w:rFonts w:ascii="宋体" w:cs="宋体" w:eastAsia="宋体" w:hAnsi="宋体" w:hint="eastAsia"/>
                <w:sz w:val="18"/>
                <w:szCs w:val="18"/>
              </w:rPr>
              <w:t>基础工作业务能力培养</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视觉营销设计</w:t>
            </w:r>
          </w:p>
        </w:tc>
        <w:tc>
          <w:tcPr>
            <w:tcW w:w="1134" w:type="dxa"/>
            <w:tcBorders/>
          </w:tcPr>
          <w:p>
            <w:pPr>
              <w:pStyle w:val="style0"/>
              <w:rPr>
                <w:rFonts w:ascii="宋体" w:cs="Cambria Math"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课程实训</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营销内容的筛选操作能力</w:t>
            </w:r>
          </w:p>
        </w:tc>
        <w:tc>
          <w:tcPr>
            <w:tcW w:w="1134" w:type="dxa"/>
            <w:tcBorders/>
            <w:vAlign w:val="center"/>
          </w:tcPr>
          <w:p>
            <w:pPr>
              <w:pStyle w:val="style0"/>
              <w:spacing w:lineRule="exact" w:line="280"/>
              <w:jc w:val="center"/>
              <w:rPr>
                <w:rFonts w:ascii="宋体" w:cs="Cambria Math" w:eastAsia="宋体" w:hAnsi="宋体"/>
                <w:sz w:val="18"/>
                <w:szCs w:val="18"/>
              </w:rPr>
            </w:pPr>
            <w:r>
              <w:rPr>
                <w:rFonts w:ascii="宋体" w:cs="Cambria Math" w:eastAsia="宋体" w:hAnsi="宋体" w:hint="eastAsia"/>
                <w:sz w:val="18"/>
                <w:szCs w:val="18"/>
              </w:rPr>
              <w:t>内容营销</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课程实训</w:t>
            </w:r>
          </w:p>
        </w:tc>
        <w:tc>
          <w:tcPr>
            <w:tcW w:w="1276" w:type="dxa"/>
            <w:tcBorders/>
          </w:tcPr>
          <w:p>
            <w:pPr>
              <w:pStyle w:val="style0"/>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新媒体技术能力</w:t>
            </w:r>
          </w:p>
        </w:tc>
        <w:tc>
          <w:tcPr>
            <w:tcW w:w="1134" w:type="dxa"/>
            <w:tcBorders/>
            <w:vAlign w:val="center"/>
          </w:tcPr>
          <w:p>
            <w:pPr>
              <w:pStyle w:val="style0"/>
              <w:spacing w:lineRule="exact" w:line="280"/>
              <w:jc w:val="center"/>
              <w:rPr>
                <w:rFonts w:ascii="宋体" w:cs="宋体" w:eastAsia="宋体" w:hAnsi="宋体"/>
                <w:sz w:val="18"/>
                <w:szCs w:val="18"/>
              </w:rPr>
            </w:pPr>
            <w:r>
              <w:rPr>
                <w:rFonts w:ascii="宋体" w:cs="宋体" w:eastAsia="宋体" w:hAnsi="宋体" w:hint="eastAsia"/>
                <w:sz w:val="18"/>
                <w:szCs w:val="18"/>
              </w:rPr>
              <w:t>短视频制作</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模拟操作、真实平台操作、专题讲座等</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客户需求</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营销心理学</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模拟操作、真实平台操作、专题讲座等</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rPr>
                <w:rFonts w:ascii="宋体" w:cs="宋体" w:eastAsia="宋体" w:hAnsi="宋体"/>
                <w:sz w:val="18"/>
                <w:szCs w:val="18"/>
              </w:rPr>
            </w:pPr>
            <w:r>
              <w:rPr>
                <w:rFonts w:ascii="宋体" w:cs="宋体" w:eastAsia="宋体" w:hAnsi="宋体" w:hint="eastAsia"/>
                <w:sz w:val="18"/>
                <w:szCs w:val="18"/>
              </w:rPr>
              <w:t>基础工作业务能力培养</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网店客服、数据可视化</w:t>
            </w:r>
          </w:p>
        </w:tc>
        <w:tc>
          <w:tcPr>
            <w:tcW w:w="1134" w:type="dxa"/>
            <w:tcBorders/>
          </w:tcPr>
          <w:p>
            <w:pPr>
              <w:pStyle w:val="style0"/>
              <w:rPr>
                <w:rFonts w:ascii="宋体" w:cs="Cambria Math"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课程实训、专题讲座、真实平台操作</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rPr>
                <w:rFonts w:ascii="宋体" w:cs="宋体" w:eastAsia="宋体" w:hAnsi="宋体"/>
                <w:sz w:val="18"/>
                <w:szCs w:val="18"/>
              </w:rPr>
            </w:pPr>
            <w:r>
              <w:rPr>
                <w:rFonts w:ascii="宋体" w:cs="宋体" w:eastAsia="宋体" w:hAnsi="宋体" w:hint="eastAsia"/>
                <w:sz w:val="18"/>
                <w:szCs w:val="18"/>
              </w:rPr>
              <w:t>多</w:t>
            </w:r>
            <w:r>
              <w:rPr>
                <w:rFonts w:ascii="宋体" w:cs="宋体" w:eastAsia="宋体" w:hAnsi="宋体"/>
                <w:sz w:val="18"/>
                <w:szCs w:val="18"/>
              </w:rPr>
              <w:t>平台运营能力培养</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直播运营</w:t>
            </w:r>
          </w:p>
        </w:tc>
        <w:tc>
          <w:tcPr>
            <w:tcW w:w="1134" w:type="dxa"/>
            <w:tcBorders/>
          </w:tcPr>
          <w:p>
            <w:pPr>
              <w:pStyle w:val="style0"/>
              <w:rPr>
                <w:rFonts w:ascii="宋体" w:cs="Cambria Math"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模拟操作、真实平台操作、专题讲座等</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restart"/>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第3、4学期（熟手期）</w:t>
            </w:r>
          </w:p>
        </w:tc>
        <w:tc>
          <w:tcPr>
            <w:tcW w:w="1701"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客服</w:t>
            </w:r>
            <w:r>
              <w:rPr>
                <w:rFonts w:ascii="宋体" w:cs="宋体" w:eastAsia="宋体" w:hAnsi="宋体"/>
                <w:sz w:val="18"/>
                <w:szCs w:val="18"/>
              </w:rPr>
              <w:t>和美工</w:t>
            </w:r>
            <w:r>
              <w:rPr>
                <w:rFonts w:ascii="宋体" w:cs="宋体" w:eastAsia="宋体" w:hAnsi="宋体" w:hint="eastAsia"/>
                <w:sz w:val="18"/>
                <w:szCs w:val="18"/>
              </w:rPr>
              <w:t>实战</w:t>
            </w:r>
            <w:r>
              <w:rPr>
                <w:rFonts w:ascii="宋体" w:cs="宋体" w:eastAsia="宋体" w:hAnsi="宋体"/>
                <w:sz w:val="18"/>
                <w:szCs w:val="18"/>
              </w:rPr>
              <w:t>能力</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电子</w:t>
            </w:r>
            <w:r>
              <w:rPr>
                <w:rFonts w:ascii="宋体" w:cs="宋体" w:eastAsia="宋体" w:hAnsi="宋体"/>
                <w:sz w:val="18"/>
                <w:szCs w:val="18"/>
              </w:rPr>
              <w:t>商务</w:t>
            </w:r>
            <w:r>
              <w:rPr>
                <w:rFonts w:ascii="宋体" w:cs="宋体" w:eastAsia="宋体" w:hAnsi="宋体" w:hint="eastAsia"/>
                <w:sz w:val="18"/>
                <w:szCs w:val="18"/>
              </w:rPr>
              <w:t>客服、美工</w:t>
            </w:r>
            <w:r>
              <w:rPr>
                <w:rFonts w:ascii="宋体" w:cs="宋体" w:eastAsia="宋体" w:hAnsi="宋体"/>
                <w:sz w:val="18"/>
                <w:szCs w:val="18"/>
              </w:rPr>
              <w:t>实战实训</w:t>
            </w:r>
          </w:p>
        </w:tc>
        <w:tc>
          <w:tcPr>
            <w:tcW w:w="1134" w:type="dxa"/>
            <w:tcBorders/>
          </w:tcPr>
          <w:p>
            <w:pPr>
              <w:pStyle w:val="style0"/>
              <w:rPr>
                <w:rFonts w:ascii="宋体" w:cs="宋体"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课程实训</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rPr>
                <w:rFonts w:ascii="宋体" w:cs="宋体" w:eastAsia="宋体" w:hAnsi="宋体"/>
                <w:sz w:val="18"/>
                <w:szCs w:val="18"/>
              </w:rPr>
            </w:pPr>
            <w:r>
              <w:rPr>
                <w:rFonts w:ascii="宋体" w:cs="宋体" w:eastAsia="宋体" w:hAnsi="宋体" w:hint="eastAsia"/>
                <w:sz w:val="18"/>
                <w:szCs w:val="18"/>
              </w:rPr>
              <w:t>基础工作业务能力培养</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网店推广</w:t>
            </w:r>
          </w:p>
        </w:tc>
        <w:tc>
          <w:tcPr>
            <w:tcW w:w="1134" w:type="dxa"/>
            <w:tcBorders/>
          </w:tcPr>
          <w:p>
            <w:pPr>
              <w:pStyle w:val="style0"/>
              <w:rPr>
                <w:rFonts w:ascii="宋体" w:cs="Cambria Math"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课程实训、专题讲座、真实平台操作</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rPr>
                <w:rFonts w:ascii="宋体" w:cs="宋体" w:eastAsia="宋体" w:hAnsi="宋体"/>
                <w:sz w:val="18"/>
                <w:szCs w:val="18"/>
              </w:rPr>
            </w:pPr>
            <w:r>
              <w:rPr>
                <w:rFonts w:ascii="宋体" w:cs="宋体" w:eastAsia="宋体" w:hAnsi="宋体" w:hint="eastAsia"/>
                <w:sz w:val="18"/>
                <w:szCs w:val="18"/>
              </w:rPr>
              <w:t>新</w:t>
            </w:r>
            <w:r>
              <w:rPr>
                <w:rFonts w:ascii="宋体" w:cs="宋体" w:eastAsia="宋体" w:hAnsi="宋体"/>
                <w:sz w:val="18"/>
                <w:szCs w:val="18"/>
              </w:rPr>
              <w:t>媒体推广</w:t>
            </w:r>
            <w:r>
              <w:rPr>
                <w:rFonts w:ascii="宋体" w:cs="宋体" w:eastAsia="宋体" w:hAnsi="宋体" w:hint="eastAsia"/>
                <w:sz w:val="18"/>
                <w:szCs w:val="18"/>
              </w:rPr>
              <w:t>能力培养</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新</w:t>
            </w:r>
            <w:r>
              <w:rPr>
                <w:rFonts w:ascii="宋体" w:cs="宋体" w:eastAsia="宋体" w:hAnsi="宋体"/>
                <w:sz w:val="18"/>
                <w:szCs w:val="18"/>
              </w:rPr>
              <w:t>媒体推广</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课程实训、专题讲座、真实平台操作</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trHeight w:val="946" w:hRule="atLeast"/>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全</w:t>
            </w:r>
            <w:r>
              <w:rPr>
                <w:rFonts w:ascii="宋体" w:cs="宋体" w:eastAsia="宋体" w:hAnsi="宋体"/>
                <w:sz w:val="18"/>
                <w:szCs w:val="18"/>
              </w:rPr>
              <w:t>网推广</w:t>
            </w:r>
            <w:r>
              <w:rPr>
                <w:rFonts w:ascii="宋体" w:cs="宋体" w:eastAsia="宋体" w:hAnsi="宋体" w:hint="eastAsia"/>
                <w:sz w:val="18"/>
                <w:szCs w:val="18"/>
              </w:rPr>
              <w:t>能力培养</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搜索引擎营销</w:t>
            </w:r>
          </w:p>
        </w:tc>
        <w:tc>
          <w:tcPr>
            <w:tcW w:w="1134" w:type="dxa"/>
            <w:tcBorders/>
          </w:tcPr>
          <w:p>
            <w:pPr>
              <w:pStyle w:val="style0"/>
              <w:rPr>
                <w:rFonts w:ascii="宋体" w:cs="Cambria Math"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课程实训、专题讲座、真实平台操作</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restart"/>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职前素质冲刺阶段</w:t>
            </w:r>
          </w:p>
        </w:tc>
        <w:tc>
          <w:tcPr>
            <w:tcW w:w="709" w:type="dxa"/>
            <w:vMerge w:val="restart"/>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第5、6学期（能手期）</w:t>
            </w:r>
          </w:p>
        </w:tc>
        <w:tc>
          <w:tcPr>
            <w:tcW w:w="1701"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文案撰写能力</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文案策划与写作</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模拟操作、真实平台操作、专题讲座等</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高级工作业务能力培养</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数据化营销</w:t>
            </w:r>
          </w:p>
        </w:tc>
        <w:tc>
          <w:tcPr>
            <w:tcW w:w="1134" w:type="dxa"/>
            <w:tcBorders/>
          </w:tcPr>
          <w:p>
            <w:pPr>
              <w:pStyle w:val="style0"/>
              <w:rPr>
                <w:rFonts w:ascii="宋体" w:cs="Cambria Math"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课程实训、专题讲座、真实平台操作</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rPr>
                <w:rFonts w:ascii="宋体" w:cs="宋体" w:eastAsia="宋体" w:hAnsi="宋体"/>
                <w:sz w:val="18"/>
                <w:szCs w:val="18"/>
              </w:rPr>
            </w:pPr>
            <w:r>
              <w:rPr>
                <w:rFonts w:ascii="宋体" w:cs="宋体" w:eastAsia="宋体" w:hAnsi="宋体" w:hint="eastAsia"/>
                <w:sz w:val="18"/>
                <w:szCs w:val="18"/>
              </w:rPr>
              <w:t>基础工作业务能力培养</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网络营销</w:t>
            </w:r>
          </w:p>
        </w:tc>
        <w:tc>
          <w:tcPr>
            <w:tcW w:w="1134" w:type="dxa"/>
            <w:tcBorders/>
          </w:tcPr>
          <w:p>
            <w:pPr>
              <w:pStyle w:val="style0"/>
              <w:rPr>
                <w:rFonts w:ascii="宋体" w:cs="Cambria Math"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课程实训、专题讲座、真实平台操作</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基础工作业务能力培养</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网页设计与制作</w:t>
            </w:r>
          </w:p>
        </w:tc>
        <w:tc>
          <w:tcPr>
            <w:tcW w:w="1134" w:type="dxa"/>
            <w:tcBorders/>
          </w:tcPr>
          <w:p>
            <w:pPr>
              <w:pStyle w:val="style0"/>
              <w:rPr>
                <w:rFonts w:ascii="宋体" w:cs="宋体"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课程实训</w:t>
            </w:r>
          </w:p>
        </w:tc>
        <w:tc>
          <w:tcPr>
            <w:tcW w:w="1276" w:type="dxa"/>
            <w:tcBorders/>
            <w:vAlign w:val="center"/>
          </w:tcPr>
          <w:p>
            <w:pPr>
              <w:pStyle w:val="style0"/>
              <w:jc w:val="center"/>
              <w:rPr>
                <w:rFonts w:ascii="宋体" w:cs="Cambria Math" w:eastAsia="宋体" w:hAnsi="宋体"/>
                <w:sz w:val="18"/>
                <w:szCs w:val="18"/>
              </w:rPr>
            </w:pPr>
            <w:r>
              <w:rPr>
                <w:rFonts w:ascii="宋体" w:cs="宋体" w:eastAsia="宋体" w:hAnsi="宋体" w:hint="eastAsia"/>
                <w:sz w:val="18"/>
                <w:szCs w:val="18"/>
              </w:rPr>
              <w:t>教务处、信息工程系</w:t>
            </w:r>
          </w:p>
        </w:tc>
      </w:tr>
      <w:tr>
        <w:tblPrEx/>
        <w:trPr>
          <w:jc w:val="center"/>
        </w:trPr>
        <w:tc>
          <w:tcPr>
            <w:tcW w:w="817" w:type="dxa"/>
            <w:vMerge w:val="continue"/>
            <w:tcBorders/>
            <w:vAlign w:val="center"/>
          </w:tcPr>
          <w:p>
            <w:pPr>
              <w:pStyle w:val="style0"/>
              <w:jc w:val="center"/>
              <w:rPr>
                <w:rFonts w:ascii="宋体" w:cs="宋体" w:eastAsia="宋体" w:hAnsi="宋体"/>
                <w:sz w:val="18"/>
                <w:szCs w:val="18"/>
              </w:rPr>
            </w:pPr>
          </w:p>
        </w:tc>
        <w:tc>
          <w:tcPr>
            <w:tcW w:w="709" w:type="dxa"/>
            <w:vMerge w:val="continue"/>
            <w:tcBorders/>
            <w:vAlign w:val="center"/>
          </w:tcPr>
          <w:p>
            <w:pPr>
              <w:pStyle w:val="style0"/>
              <w:jc w:val="center"/>
              <w:rPr>
                <w:rFonts w:ascii="宋体" w:cs="宋体" w:eastAsia="宋体" w:hAnsi="宋体"/>
                <w:sz w:val="18"/>
                <w:szCs w:val="18"/>
              </w:rPr>
            </w:pPr>
          </w:p>
        </w:tc>
        <w:tc>
          <w:tcPr>
            <w:tcW w:w="1701"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毕业实习与就业意识、能力提升和准备</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岗位实习、毕业论文</w:t>
            </w:r>
          </w:p>
        </w:tc>
        <w:tc>
          <w:tcPr>
            <w:tcW w:w="1134"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数字经济教研室</w:t>
            </w:r>
          </w:p>
        </w:tc>
        <w:tc>
          <w:tcPr>
            <w:tcW w:w="1417"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毕业专业教育、职前专项培训、岗位实习动员会等</w:t>
            </w:r>
          </w:p>
        </w:tc>
        <w:tc>
          <w:tcPr>
            <w:tcW w:w="1276" w:type="dxa"/>
            <w:tcBorders/>
            <w:vAlign w:val="center"/>
          </w:tcPr>
          <w:p>
            <w:pPr>
              <w:pStyle w:val="style0"/>
              <w:jc w:val="center"/>
              <w:rPr>
                <w:rFonts w:ascii="宋体" w:cs="宋体" w:eastAsia="宋体" w:hAnsi="宋体"/>
                <w:sz w:val="18"/>
                <w:szCs w:val="18"/>
              </w:rPr>
            </w:pPr>
            <w:r>
              <w:rPr>
                <w:rFonts w:ascii="宋体" w:cs="宋体" w:eastAsia="宋体" w:hAnsi="宋体" w:hint="eastAsia"/>
                <w:sz w:val="18"/>
                <w:szCs w:val="18"/>
              </w:rPr>
              <w:t>教务处、就业处、信息工程系</w:t>
            </w:r>
          </w:p>
        </w:tc>
      </w:tr>
    </w:tbl>
    <w:p>
      <w:pPr>
        <w:pStyle w:val="style4103"/>
        <w:rPr>
          <w:rFonts w:ascii="Times New Roman" w:eastAsia="宋体" w:hAnsi="Times New Roman"/>
          <w:bCs/>
        </w:rPr>
      </w:pPr>
    </w:p>
    <w:p>
      <w:pPr>
        <w:pStyle w:val="style4103"/>
        <w:rPr>
          <w:rFonts w:ascii="Times New Roman" w:eastAsia="宋体" w:hAnsi="Times New Roman"/>
          <w:bCs/>
        </w:rPr>
      </w:pPr>
      <w:r>
        <w:rPr>
          <w:rFonts w:ascii="Times New Roman" w:eastAsia="宋体" w:hAnsi="Times New Roman" w:hint="eastAsia"/>
          <w:bCs/>
        </w:rPr>
        <w:t>（二）制度保障</w:t>
      </w:r>
    </w:p>
    <w:p>
      <w:pPr>
        <w:pStyle w:val="style0"/>
        <w:snapToGrid w:val="false"/>
        <w:spacing w:lineRule="exact" w:line="380"/>
        <w:rPr>
          <w:rFonts w:ascii="Times New Roman" w:eastAsia="宋体" w:hAnsi="Times New Roman"/>
          <w:szCs w:val="21"/>
        </w:rPr>
      </w:pPr>
      <w:r>
        <w:rPr>
          <w:rFonts w:ascii="Times New Roman" w:eastAsia="宋体" w:hAnsi="Times New Roman" w:hint="eastAsia"/>
          <w:szCs w:val="21"/>
        </w:rPr>
        <w:t xml:space="preserve">    为保障专业人才培养方案的运行实施，学校建立有完整的教学质量监控体系。</w:t>
      </w:r>
    </w:p>
    <w:p>
      <w:pPr>
        <w:pStyle w:val="style0"/>
        <w:snapToGrid w:val="false"/>
        <w:spacing w:lineRule="exact" w:line="380"/>
        <w:jc w:val="center"/>
        <w:rPr>
          <w:rFonts w:ascii="Times New Roman" w:eastAsia="宋体" w:hAnsi="Times New Roman"/>
          <w:szCs w:val="21"/>
        </w:rPr>
      </w:pPr>
      <w:r>
        <w:rPr>
          <w:rFonts w:ascii="Times New Roman" w:eastAsia="宋体" w:hAnsi="Times New Roman" w:hint="eastAsia"/>
          <w:b/>
          <w:szCs w:val="21"/>
        </w:rPr>
        <w:t xml:space="preserve"> 方案实施保障制度一览表</w:t>
      </w:r>
    </w:p>
    <w:tbl>
      <w:tblPr>
        <w:tblStyle w:val="style105"/>
        <w:tblW w:w="885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top w:w="0" w:type="dxa"/>
          <w:left w:w="108" w:type="dxa"/>
          <w:bottom w:w="0" w:type="dxa"/>
          <w:right w:w="108" w:type="dxa"/>
        </w:tblCellMar>
      </w:tblPr>
      <w:tblGrid>
        <w:gridCol w:w="1440"/>
        <w:gridCol w:w="7410"/>
      </w:tblGrid>
      <w:tr>
        <w:trPr>
          <w:trHeight w:val="567" w:hRule="atLeast"/>
          <w:jc w:val="center"/>
        </w:trPr>
        <w:tc>
          <w:tcPr>
            <w:tcW w:w="1440" w:type="dxa"/>
            <w:tcBorders>
              <w:bottom w:val="double" w:sz="4" w:space="0" w:color="auto"/>
              <w:right w:val="single" w:sz="4" w:space="0" w:color="auto"/>
            </w:tcBorders>
            <w:shd w:val="clear" w:color="auto" w:fill="ffffff"/>
            <w:vAlign w:val="center"/>
          </w:tcPr>
          <w:p>
            <w:pPr>
              <w:pStyle w:val="style0"/>
              <w:tabs>
                <w:tab w:val="left" w:leader="none" w:pos="900"/>
              </w:tabs>
              <w:snapToGrid w:val="false"/>
              <w:jc w:val="center"/>
              <w:rPr>
                <w:rFonts w:ascii="Times New Roman" w:eastAsia="宋体" w:hAnsi="Times New Roman"/>
                <w:b/>
                <w:bCs/>
                <w:sz w:val="18"/>
                <w:szCs w:val="18"/>
              </w:rPr>
            </w:pPr>
            <w:r>
              <w:rPr>
                <w:rFonts w:ascii="Times New Roman" w:eastAsia="宋体" w:hAnsi="Times New Roman" w:hint="eastAsia"/>
                <w:b/>
                <w:bCs/>
                <w:sz w:val="18"/>
                <w:szCs w:val="18"/>
              </w:rPr>
              <w:t>实施内容</w:t>
            </w:r>
          </w:p>
        </w:tc>
        <w:tc>
          <w:tcPr>
            <w:tcW w:w="7410" w:type="dxa"/>
            <w:tcBorders>
              <w:left w:val="single" w:sz="4" w:space="0" w:color="auto"/>
              <w:right w:val="double" w:sz="4" w:space="0" w:color="auto"/>
            </w:tcBorders>
            <w:shd w:val="clear" w:color="auto" w:fill="ffffff"/>
            <w:vAlign w:val="center"/>
          </w:tcPr>
          <w:p>
            <w:pPr>
              <w:pStyle w:val="style0"/>
              <w:tabs>
                <w:tab w:val="left" w:leader="none" w:pos="900"/>
              </w:tabs>
              <w:snapToGrid w:val="false"/>
              <w:jc w:val="center"/>
              <w:rPr>
                <w:rFonts w:ascii="Times New Roman" w:eastAsia="宋体" w:hAnsi="Times New Roman"/>
                <w:b/>
                <w:bCs/>
                <w:sz w:val="18"/>
                <w:szCs w:val="18"/>
              </w:rPr>
            </w:pPr>
            <w:r>
              <w:rPr>
                <w:rFonts w:ascii="Times New Roman" w:eastAsia="宋体" w:hAnsi="Times New Roman" w:hint="eastAsia"/>
                <w:b/>
                <w:bCs/>
                <w:sz w:val="18"/>
                <w:szCs w:val="18"/>
              </w:rPr>
              <w:t>制度保障</w:t>
            </w:r>
          </w:p>
        </w:tc>
      </w:tr>
      <w:tr>
        <w:tblPrEx/>
        <w:trPr>
          <w:trHeight w:val="607" w:hRule="atLeast"/>
          <w:jc w:val="center"/>
        </w:trPr>
        <w:tc>
          <w:tcPr>
            <w:tcW w:w="1440" w:type="dxa"/>
            <w:tcBorders>
              <w:bottom w:val="single" w:sz="4" w:space="0" w:color="auto"/>
              <w:right w:val="single" w:sz="4" w:space="0" w:color="auto"/>
            </w:tcBorders>
            <w:vAlign w:val="center"/>
          </w:tcPr>
          <w:p>
            <w:pPr>
              <w:pStyle w:val="style0"/>
              <w:tabs>
                <w:tab w:val="left" w:leader="none" w:pos="900"/>
              </w:tabs>
              <w:snapToGrid w:val="false"/>
              <w:jc w:val="center"/>
              <w:rPr>
                <w:rFonts w:ascii="Times New Roman" w:eastAsia="宋体" w:hAnsi="Times New Roman"/>
                <w:sz w:val="18"/>
                <w:szCs w:val="18"/>
              </w:rPr>
            </w:pPr>
            <w:r>
              <w:rPr>
                <w:rFonts w:ascii="Times New Roman" w:eastAsia="宋体" w:hAnsi="Times New Roman" w:hint="eastAsia"/>
                <w:sz w:val="18"/>
                <w:szCs w:val="18"/>
              </w:rPr>
              <w:t>校企合作</w:t>
            </w:r>
          </w:p>
        </w:tc>
        <w:tc>
          <w:tcPr>
            <w:tcW w:w="7410" w:type="dxa"/>
            <w:tcBorders>
              <w:left w:val="single" w:sz="4" w:space="0" w:color="auto"/>
              <w:bottom w:val="single" w:sz="4" w:space="0" w:color="auto"/>
              <w:right w:val="double" w:sz="4" w:space="0" w:color="auto"/>
            </w:tcBorders>
            <w:vAlign w:val="center"/>
          </w:tcPr>
          <w:p>
            <w:pPr>
              <w:pStyle w:val="style0"/>
              <w:tabs>
                <w:tab w:val="left" w:leader="none" w:pos="900"/>
              </w:tabs>
              <w:snapToGrid w:val="false"/>
              <w:rPr>
                <w:rFonts w:ascii="Times New Roman" w:eastAsia="宋体" w:hAnsi="Times New Roman"/>
                <w:sz w:val="18"/>
                <w:szCs w:val="18"/>
              </w:rPr>
            </w:pPr>
            <w:r>
              <w:rPr>
                <w:rFonts w:ascii="Times New Roman" w:cs="宋体" w:eastAsia="宋体" w:hAnsi="Times New Roman" w:hint="eastAsia"/>
                <w:bCs/>
                <w:sz w:val="18"/>
                <w:szCs w:val="18"/>
              </w:rPr>
              <w:t>校企</w:t>
            </w:r>
            <w:r>
              <w:rPr/>
              <w:fldChar w:fldCharType="begin"/>
            </w:r>
            <w:r>
              <w:instrText xml:space="preserve"> HYPERLINK \l "_Toc28691" </w:instrText>
            </w:r>
            <w:r>
              <w:rPr/>
              <w:fldChar w:fldCharType="separate"/>
            </w:r>
            <w:r>
              <w:rPr>
                <w:rFonts w:ascii="Times New Roman" w:cs="宋体" w:eastAsia="宋体" w:hAnsi="Times New Roman" w:hint="eastAsia"/>
                <w:bCs/>
                <w:sz w:val="18"/>
                <w:szCs w:val="18"/>
              </w:rPr>
              <w:t>合作管理办法，</w:t>
            </w:r>
            <w:r>
              <w:rPr>
                <w:rFonts w:ascii="Times New Roman" w:cs="宋体" w:eastAsia="宋体" w:hAnsi="Times New Roman" w:hint="eastAsia"/>
                <w:bCs/>
                <w:sz w:val="18"/>
                <w:szCs w:val="18"/>
              </w:rPr>
              <w:fldChar w:fldCharType="end"/>
            </w:r>
            <w:r>
              <w:rPr>
                <w:rFonts w:ascii="Times New Roman" w:eastAsia="宋体" w:hAnsi="Times New Roman" w:hint="eastAsia"/>
                <w:sz w:val="18"/>
                <w:szCs w:val="18"/>
              </w:rPr>
              <w:t>校外教学实习基地建设与管理规定，规范就业、校企合作、岗位实习的有关规定等</w:t>
            </w:r>
          </w:p>
        </w:tc>
      </w:tr>
      <w:tr>
        <w:tblPrEx/>
        <w:trPr>
          <w:trHeight w:val="397" w:hRule="atLeast"/>
          <w:jc w:val="center"/>
        </w:trPr>
        <w:tc>
          <w:tcPr>
            <w:tcW w:w="1440" w:type="dxa"/>
            <w:tcBorders>
              <w:top w:val="single" w:sz="4" w:space="0" w:color="auto"/>
              <w:bottom w:val="single" w:sz="4" w:space="0" w:color="auto"/>
              <w:right w:val="single" w:sz="4" w:space="0" w:color="auto"/>
            </w:tcBorders>
            <w:vAlign w:val="center"/>
          </w:tcPr>
          <w:p>
            <w:pPr>
              <w:pStyle w:val="style0"/>
              <w:tabs>
                <w:tab w:val="left" w:leader="none" w:pos="900"/>
              </w:tabs>
              <w:snapToGrid w:val="false"/>
              <w:jc w:val="center"/>
              <w:rPr>
                <w:rFonts w:ascii="Times New Roman" w:eastAsia="宋体" w:hAnsi="Times New Roman"/>
                <w:sz w:val="18"/>
                <w:szCs w:val="18"/>
              </w:rPr>
            </w:pPr>
            <w:r>
              <w:rPr>
                <w:rFonts w:ascii="Times New Roman" w:eastAsia="宋体" w:hAnsi="Times New Roman" w:hint="eastAsia"/>
                <w:sz w:val="18"/>
                <w:szCs w:val="18"/>
              </w:rPr>
              <w:t>专业建设</w:t>
            </w:r>
          </w:p>
        </w:tc>
        <w:tc>
          <w:tcPr>
            <w:tcW w:w="7410" w:type="dxa"/>
            <w:tcBorders>
              <w:top w:val="single" w:sz="4" w:space="0" w:color="auto"/>
              <w:left w:val="single" w:sz="4" w:space="0" w:color="auto"/>
              <w:bottom w:val="single" w:sz="4" w:space="0" w:color="auto"/>
              <w:right w:val="double" w:sz="4" w:space="0" w:color="auto"/>
            </w:tcBorders>
            <w:vAlign w:val="center"/>
          </w:tcPr>
          <w:p>
            <w:pPr>
              <w:pStyle w:val="style0"/>
              <w:tabs>
                <w:tab w:val="left" w:leader="none" w:pos="900"/>
              </w:tabs>
              <w:snapToGrid w:val="false"/>
              <w:rPr>
                <w:rFonts w:ascii="Times New Roman" w:eastAsia="宋体" w:hAnsi="Times New Roman"/>
                <w:sz w:val="18"/>
                <w:szCs w:val="18"/>
              </w:rPr>
            </w:pPr>
            <w:r>
              <w:rPr>
                <w:rFonts w:ascii="Times New Roman" w:eastAsia="宋体" w:hAnsi="Times New Roman" w:hint="eastAsia"/>
                <w:sz w:val="18"/>
                <w:szCs w:val="18"/>
              </w:rPr>
              <w:t>学院专业设置实施细则，专业指导委员会工作条例，信息系教研室主任考核制度等</w:t>
            </w:r>
          </w:p>
        </w:tc>
      </w:tr>
      <w:tr>
        <w:tblPrEx/>
        <w:trPr>
          <w:trHeight w:val="460" w:hRule="atLeast"/>
          <w:jc w:val="center"/>
        </w:trPr>
        <w:tc>
          <w:tcPr>
            <w:tcW w:w="1440" w:type="dxa"/>
            <w:tcBorders>
              <w:top w:val="single" w:sz="4" w:space="0" w:color="auto"/>
              <w:bottom w:val="single" w:sz="4" w:space="0" w:color="auto"/>
              <w:right w:val="single" w:sz="4" w:space="0" w:color="auto"/>
            </w:tcBorders>
            <w:vAlign w:val="center"/>
          </w:tcPr>
          <w:p>
            <w:pPr>
              <w:pStyle w:val="style0"/>
              <w:tabs>
                <w:tab w:val="left" w:leader="none" w:pos="900"/>
              </w:tabs>
              <w:snapToGrid w:val="false"/>
              <w:jc w:val="center"/>
              <w:rPr>
                <w:rFonts w:ascii="Times New Roman" w:eastAsia="宋体" w:hAnsi="Times New Roman"/>
                <w:sz w:val="18"/>
                <w:szCs w:val="18"/>
              </w:rPr>
            </w:pPr>
            <w:r>
              <w:rPr>
                <w:rFonts w:ascii="Times New Roman" w:eastAsia="宋体" w:hAnsi="Times New Roman" w:hint="eastAsia"/>
                <w:sz w:val="18"/>
                <w:szCs w:val="18"/>
              </w:rPr>
              <w:t>课程建设</w:t>
            </w:r>
          </w:p>
        </w:tc>
        <w:tc>
          <w:tcPr>
            <w:tcW w:w="7410" w:type="dxa"/>
            <w:tcBorders>
              <w:top w:val="single" w:sz="4" w:space="0" w:color="auto"/>
              <w:left w:val="single" w:sz="4" w:space="0" w:color="auto"/>
              <w:bottom w:val="single" w:sz="4" w:space="0" w:color="auto"/>
              <w:right w:val="double" w:sz="4" w:space="0" w:color="auto"/>
            </w:tcBorders>
            <w:vAlign w:val="center"/>
          </w:tcPr>
          <w:p>
            <w:pPr>
              <w:pStyle w:val="style0"/>
              <w:tabs>
                <w:tab w:val="left" w:leader="none" w:pos="900"/>
              </w:tabs>
              <w:snapToGrid w:val="false"/>
              <w:rPr>
                <w:rFonts w:ascii="Times New Roman" w:eastAsia="宋体" w:hAnsi="Times New Roman"/>
                <w:sz w:val="18"/>
                <w:szCs w:val="18"/>
              </w:rPr>
            </w:pPr>
            <w:r>
              <w:rPr>
                <w:rFonts w:ascii="Times New Roman" w:eastAsia="宋体" w:hAnsi="Times New Roman" w:hint="eastAsia"/>
                <w:sz w:val="18"/>
                <w:szCs w:val="18"/>
              </w:rPr>
              <w:t>精品在线开放课程建设与应用管理办法等</w:t>
            </w:r>
          </w:p>
        </w:tc>
      </w:tr>
      <w:tr>
        <w:tblPrEx/>
        <w:trPr>
          <w:trHeight w:val="705" w:hRule="atLeast"/>
          <w:jc w:val="center"/>
        </w:trPr>
        <w:tc>
          <w:tcPr>
            <w:tcW w:w="1440" w:type="dxa"/>
            <w:tcBorders>
              <w:top w:val="single" w:sz="4" w:space="0" w:color="auto"/>
              <w:bottom w:val="single" w:sz="4" w:space="0" w:color="auto"/>
              <w:right w:val="single" w:sz="4" w:space="0" w:color="auto"/>
            </w:tcBorders>
            <w:vAlign w:val="center"/>
          </w:tcPr>
          <w:p>
            <w:pPr>
              <w:pStyle w:val="style0"/>
              <w:tabs>
                <w:tab w:val="left" w:leader="none" w:pos="900"/>
              </w:tabs>
              <w:snapToGrid w:val="false"/>
              <w:jc w:val="center"/>
              <w:rPr>
                <w:rFonts w:ascii="Times New Roman" w:eastAsia="宋体" w:hAnsi="Times New Roman"/>
                <w:sz w:val="18"/>
                <w:szCs w:val="18"/>
              </w:rPr>
            </w:pPr>
            <w:r>
              <w:rPr>
                <w:rFonts w:ascii="Times New Roman" w:eastAsia="宋体" w:hAnsi="Times New Roman" w:hint="eastAsia"/>
                <w:sz w:val="18"/>
                <w:szCs w:val="18"/>
              </w:rPr>
              <w:t>师资建设</w:t>
            </w:r>
          </w:p>
        </w:tc>
        <w:tc>
          <w:tcPr>
            <w:tcW w:w="7410" w:type="dxa"/>
            <w:tcBorders>
              <w:top w:val="single" w:sz="4" w:space="0" w:color="auto"/>
              <w:left w:val="single" w:sz="4" w:space="0" w:color="auto"/>
              <w:bottom w:val="single" w:sz="4" w:space="0" w:color="auto"/>
              <w:right w:val="double" w:sz="4" w:space="0" w:color="auto"/>
            </w:tcBorders>
            <w:vAlign w:val="center"/>
          </w:tcPr>
          <w:p>
            <w:pPr>
              <w:pStyle w:val="style0"/>
              <w:tabs>
                <w:tab w:val="left" w:leader="none" w:pos="900"/>
              </w:tabs>
              <w:snapToGrid w:val="false"/>
              <w:rPr>
                <w:rFonts w:ascii="Times New Roman" w:eastAsia="宋体" w:hAnsi="Times New Roman"/>
                <w:sz w:val="18"/>
                <w:szCs w:val="18"/>
              </w:rPr>
            </w:pPr>
            <w:r>
              <w:rPr>
                <w:rFonts w:ascii="Times New Roman" w:eastAsia="宋体" w:hAnsi="Times New Roman" w:hint="eastAsia"/>
                <w:kern w:val="36"/>
                <w:sz w:val="18"/>
                <w:szCs w:val="18"/>
              </w:rPr>
              <w:t>关于全面深化新时代教师队伍建设改革的实施方案，关于新聘教师教学业务培训的管理办法，教师岗位职责与工作行为规范，</w:t>
            </w:r>
            <w:r>
              <w:rPr>
                <w:rFonts w:ascii="Times New Roman" w:eastAsia="宋体" w:hAnsi="Times New Roman" w:hint="eastAsia"/>
                <w:kern w:val="0"/>
                <w:sz w:val="18"/>
                <w:szCs w:val="18"/>
              </w:rPr>
              <w:t>教师教学评价考核办法，</w:t>
            </w:r>
            <w:r>
              <w:rPr>
                <w:rFonts w:ascii="Times New Roman" w:eastAsia="宋体" w:hAnsi="Times New Roman" w:hint="eastAsia"/>
                <w:sz w:val="18"/>
                <w:szCs w:val="18"/>
              </w:rPr>
              <w:t>教师师德师风考核办法，优秀教师评选办法，骨干教师、专业带头人选聘管理办法，</w:t>
            </w:r>
            <w:r>
              <w:rPr>
                <w:rFonts w:ascii="Times New Roman" w:eastAsia="宋体" w:hAnsi="Times New Roman" w:hint="eastAsia"/>
                <w:kern w:val="0"/>
                <w:sz w:val="18"/>
                <w:szCs w:val="18"/>
              </w:rPr>
              <w:t>兼职教师聘用及管理办法，专业教师赴企业锻炼管理办法，教师工作室管理办法，信息系教师考核规定，信息系外聘教师教学工作须知等</w:t>
            </w:r>
          </w:p>
        </w:tc>
      </w:tr>
      <w:tr>
        <w:tblPrEx/>
        <w:trPr>
          <w:trHeight w:val="445" w:hRule="atLeast"/>
          <w:jc w:val="center"/>
        </w:trPr>
        <w:tc>
          <w:tcPr>
            <w:tcW w:w="1440" w:type="dxa"/>
            <w:tcBorders>
              <w:top w:val="single" w:sz="4" w:space="0" w:color="auto"/>
              <w:bottom w:val="single" w:sz="4" w:space="0" w:color="auto"/>
              <w:right w:val="single" w:sz="4" w:space="0" w:color="auto"/>
            </w:tcBorders>
            <w:vAlign w:val="center"/>
          </w:tcPr>
          <w:p>
            <w:pPr>
              <w:pStyle w:val="style0"/>
              <w:tabs>
                <w:tab w:val="left" w:leader="none" w:pos="900"/>
              </w:tabs>
              <w:snapToGrid w:val="false"/>
              <w:jc w:val="center"/>
              <w:rPr>
                <w:rFonts w:ascii="Times New Roman" w:eastAsia="宋体" w:hAnsi="Times New Roman"/>
                <w:sz w:val="18"/>
                <w:szCs w:val="18"/>
              </w:rPr>
            </w:pPr>
            <w:r>
              <w:rPr>
                <w:rFonts w:ascii="Times New Roman" w:eastAsia="宋体" w:hAnsi="Times New Roman" w:hint="eastAsia"/>
                <w:sz w:val="18"/>
                <w:szCs w:val="18"/>
              </w:rPr>
              <w:t>教材建设</w:t>
            </w:r>
          </w:p>
        </w:tc>
        <w:tc>
          <w:tcPr>
            <w:tcW w:w="7410" w:type="dxa"/>
            <w:tcBorders>
              <w:top w:val="single" w:sz="4" w:space="0" w:color="auto"/>
              <w:left w:val="single" w:sz="4" w:space="0" w:color="auto"/>
              <w:bottom w:val="single" w:sz="4" w:space="0" w:color="auto"/>
              <w:right w:val="double" w:sz="4" w:space="0" w:color="auto"/>
            </w:tcBorders>
            <w:vAlign w:val="center"/>
          </w:tcPr>
          <w:p>
            <w:pPr>
              <w:pStyle w:val="style0"/>
              <w:tabs>
                <w:tab w:val="left" w:leader="none" w:pos="900"/>
              </w:tabs>
              <w:snapToGrid w:val="false"/>
              <w:rPr>
                <w:rFonts w:ascii="Times New Roman" w:eastAsia="宋体" w:hAnsi="Times New Roman"/>
                <w:sz w:val="18"/>
                <w:szCs w:val="18"/>
              </w:rPr>
            </w:pPr>
            <w:r>
              <w:rPr>
                <w:rFonts w:ascii="Times New Roman" w:eastAsia="宋体" w:hAnsi="Times New Roman" w:hint="eastAsia"/>
                <w:sz w:val="18"/>
                <w:szCs w:val="18"/>
              </w:rPr>
              <w:t>教材管理实施细则</w:t>
            </w:r>
          </w:p>
        </w:tc>
      </w:tr>
      <w:tr>
        <w:tblPrEx/>
        <w:trPr>
          <w:trHeight w:val="465" w:hRule="atLeast"/>
          <w:jc w:val="center"/>
        </w:trPr>
        <w:tc>
          <w:tcPr>
            <w:tcW w:w="1440" w:type="dxa"/>
            <w:tcBorders>
              <w:top w:val="single" w:sz="4" w:space="0" w:color="auto"/>
              <w:bottom w:val="single" w:sz="4" w:space="0" w:color="auto"/>
              <w:right w:val="single" w:sz="4" w:space="0" w:color="auto"/>
            </w:tcBorders>
            <w:vAlign w:val="center"/>
          </w:tcPr>
          <w:p>
            <w:pPr>
              <w:pStyle w:val="style0"/>
              <w:tabs>
                <w:tab w:val="left" w:leader="none" w:pos="900"/>
              </w:tabs>
              <w:snapToGrid w:val="false"/>
              <w:jc w:val="center"/>
              <w:rPr>
                <w:rFonts w:ascii="Times New Roman" w:eastAsia="宋体" w:hAnsi="Times New Roman"/>
                <w:sz w:val="18"/>
                <w:szCs w:val="18"/>
              </w:rPr>
            </w:pPr>
            <w:r>
              <w:rPr>
                <w:rFonts w:ascii="Times New Roman" w:eastAsia="宋体" w:hAnsi="Times New Roman" w:hint="eastAsia"/>
                <w:sz w:val="18"/>
                <w:szCs w:val="18"/>
              </w:rPr>
              <w:t>教学组织</w:t>
            </w:r>
          </w:p>
        </w:tc>
        <w:tc>
          <w:tcPr>
            <w:tcW w:w="7410" w:type="dxa"/>
            <w:tcBorders>
              <w:top w:val="single" w:sz="4" w:space="0" w:color="auto"/>
              <w:left w:val="single" w:sz="4" w:space="0" w:color="auto"/>
              <w:bottom w:val="single" w:sz="4" w:space="0" w:color="auto"/>
              <w:right w:val="double" w:sz="4" w:space="0" w:color="auto"/>
            </w:tcBorders>
            <w:vAlign w:val="center"/>
          </w:tcPr>
          <w:p>
            <w:pPr>
              <w:pStyle w:val="style0"/>
              <w:tabs>
                <w:tab w:val="left" w:leader="none" w:pos="900"/>
              </w:tabs>
              <w:snapToGrid w:val="false"/>
              <w:rPr>
                <w:rFonts w:ascii="Times New Roman" w:eastAsia="宋体" w:hAnsi="Times New Roman"/>
                <w:sz w:val="18"/>
                <w:szCs w:val="18"/>
              </w:rPr>
            </w:pPr>
            <w:r>
              <w:rPr>
                <w:rFonts w:ascii="Times New Roman" w:eastAsia="宋体" w:hAnsi="Times New Roman" w:hint="eastAsia"/>
                <w:sz w:val="18"/>
                <w:szCs w:val="18"/>
              </w:rPr>
              <w:t>教师教学评价考核办法，教学任务安排管理办法，课堂教学管理规定，课程教学质量考核办法，教学督导工作条例，教学事故认定与处理办法，信息系教学检查制度，信息系教学巡查制度，信息系考证及排课相关规定，信息系教职工请假及调代课制度，信息系教学质量监控制度等</w:t>
            </w:r>
          </w:p>
        </w:tc>
      </w:tr>
      <w:tr>
        <w:tblPrEx/>
        <w:trPr>
          <w:trHeight w:val="443" w:hRule="atLeast"/>
          <w:jc w:val="center"/>
        </w:trPr>
        <w:tc>
          <w:tcPr>
            <w:tcW w:w="1440" w:type="dxa"/>
            <w:tcBorders>
              <w:top w:val="single" w:sz="4" w:space="0" w:color="auto"/>
              <w:bottom w:val="single" w:sz="4" w:space="0" w:color="auto"/>
              <w:right w:val="single" w:sz="4" w:space="0" w:color="auto"/>
            </w:tcBorders>
            <w:vAlign w:val="center"/>
          </w:tcPr>
          <w:p>
            <w:pPr>
              <w:pStyle w:val="style0"/>
              <w:tabs>
                <w:tab w:val="left" w:leader="none" w:pos="900"/>
              </w:tabs>
              <w:snapToGrid w:val="false"/>
              <w:jc w:val="center"/>
              <w:rPr>
                <w:rFonts w:ascii="Times New Roman" w:eastAsia="宋体" w:hAnsi="Times New Roman"/>
                <w:sz w:val="18"/>
                <w:szCs w:val="18"/>
              </w:rPr>
            </w:pPr>
            <w:r>
              <w:rPr>
                <w:rFonts w:ascii="Times New Roman" w:eastAsia="宋体" w:hAnsi="Times New Roman" w:hint="eastAsia"/>
                <w:sz w:val="18"/>
                <w:szCs w:val="18"/>
              </w:rPr>
              <w:t>实习实训</w:t>
            </w:r>
          </w:p>
        </w:tc>
        <w:tc>
          <w:tcPr>
            <w:tcW w:w="7410" w:type="dxa"/>
            <w:tcBorders>
              <w:top w:val="single" w:sz="4" w:space="0" w:color="auto"/>
              <w:left w:val="single" w:sz="4" w:space="0" w:color="auto"/>
              <w:bottom w:val="single" w:sz="4" w:space="0" w:color="auto"/>
              <w:right w:val="double" w:sz="4" w:space="0" w:color="auto"/>
            </w:tcBorders>
            <w:vAlign w:val="center"/>
          </w:tcPr>
          <w:p>
            <w:pPr>
              <w:pStyle w:val="style0"/>
              <w:tabs>
                <w:tab w:val="left" w:leader="none" w:pos="900"/>
              </w:tabs>
              <w:snapToGrid w:val="false"/>
              <w:rPr>
                <w:rFonts w:ascii="Times New Roman" w:eastAsia="宋体" w:hAnsi="Times New Roman"/>
                <w:sz w:val="18"/>
                <w:szCs w:val="18"/>
              </w:rPr>
            </w:pPr>
            <w:r>
              <w:rPr>
                <w:rFonts w:ascii="Times New Roman" w:eastAsia="宋体" w:hAnsi="Times New Roman" w:hint="eastAsia"/>
                <w:sz w:val="18"/>
                <w:szCs w:val="18"/>
              </w:rPr>
              <w:t>学生实习管理规定；岗位实习就业工作管理实施办法；校外实训基地建设管理办法，实训场所建设指导性意见，信息系实训场所管理办法等</w:t>
            </w:r>
          </w:p>
        </w:tc>
      </w:tr>
      <w:tr>
        <w:tblPrEx/>
        <w:trPr>
          <w:trHeight w:val="307" w:hRule="atLeast"/>
          <w:jc w:val="center"/>
        </w:trPr>
        <w:tc>
          <w:tcPr>
            <w:tcW w:w="1440" w:type="dxa"/>
            <w:tcBorders>
              <w:top w:val="single" w:sz="4" w:space="0" w:color="auto"/>
              <w:right w:val="single" w:sz="4" w:space="0" w:color="auto"/>
            </w:tcBorders>
            <w:vAlign w:val="center"/>
          </w:tcPr>
          <w:p>
            <w:pPr>
              <w:pStyle w:val="style0"/>
              <w:tabs>
                <w:tab w:val="left" w:leader="none" w:pos="900"/>
              </w:tabs>
              <w:snapToGrid w:val="false"/>
              <w:jc w:val="center"/>
              <w:rPr>
                <w:rFonts w:ascii="Times New Roman" w:eastAsia="宋体" w:hAnsi="Times New Roman"/>
                <w:sz w:val="18"/>
                <w:szCs w:val="18"/>
              </w:rPr>
            </w:pPr>
            <w:r>
              <w:rPr>
                <w:rFonts w:ascii="Times New Roman" w:eastAsia="宋体" w:hAnsi="Times New Roman" w:hint="eastAsia"/>
                <w:sz w:val="18"/>
                <w:szCs w:val="18"/>
              </w:rPr>
              <w:t>学生管理</w:t>
            </w:r>
          </w:p>
        </w:tc>
        <w:tc>
          <w:tcPr>
            <w:tcW w:w="7410" w:type="dxa"/>
            <w:tcBorders>
              <w:top w:val="single" w:sz="4" w:space="0" w:color="auto"/>
              <w:left w:val="single" w:sz="4" w:space="0" w:color="auto"/>
              <w:right w:val="double" w:sz="4" w:space="0" w:color="auto"/>
            </w:tcBorders>
            <w:vAlign w:val="center"/>
          </w:tcPr>
          <w:p>
            <w:pPr>
              <w:pStyle w:val="style0"/>
              <w:tabs>
                <w:tab w:val="left" w:leader="none" w:pos="900"/>
              </w:tabs>
              <w:snapToGrid w:val="false"/>
              <w:rPr>
                <w:rFonts w:ascii="Times New Roman" w:eastAsia="宋体" w:hAnsi="Times New Roman"/>
                <w:sz w:val="18"/>
                <w:szCs w:val="18"/>
              </w:rPr>
            </w:pPr>
            <w:r>
              <w:rPr>
                <w:rFonts w:ascii="Times New Roman" w:eastAsia="宋体" w:hAnsi="Times New Roman" w:hint="eastAsia"/>
                <w:sz w:val="18"/>
                <w:szCs w:val="18"/>
              </w:rPr>
              <w:t>学生管理规定，学生日常管理规定，学籍管理办法，学生管理实操手册，学生档案管理规定，学生转专业管理规定，学生安全教育管理规定，毕业生毕业资格审查管理办法，学生考勤制度，学生违纪处分实施细则等</w:t>
            </w:r>
          </w:p>
        </w:tc>
      </w:tr>
      <w:bookmarkStart w:id="14" w:name="_Toc327706751"/>
    </w:tbl>
    <w:p>
      <w:pPr>
        <w:pStyle w:val="style0"/>
        <w:snapToGrid w:val="false"/>
        <w:spacing w:lineRule="exact" w:line="380"/>
        <w:ind w:firstLine="482" w:firstLineChars="200"/>
        <w:outlineLvl w:val="0"/>
        <w:rPr>
          <w:rFonts w:ascii="Times New Roman" w:eastAsia="宋体" w:hAnsi="Times New Roman"/>
          <w:b/>
          <w:sz w:val="24"/>
        </w:rPr>
      </w:pPr>
    </w:p>
    <w:p>
      <w:pPr>
        <w:pStyle w:val="style0"/>
        <w:snapToGrid w:val="false"/>
        <w:spacing w:lineRule="exact" w:line="380"/>
        <w:ind w:firstLine="482" w:firstLineChars="200"/>
        <w:outlineLvl w:val="0"/>
        <w:rPr>
          <w:rFonts w:ascii="Times New Roman" w:eastAsia="宋体" w:hAnsi="Times New Roman"/>
          <w:b/>
          <w:sz w:val="24"/>
        </w:rPr>
      </w:pPr>
      <w:r>
        <w:rPr>
          <w:rFonts w:ascii="Times New Roman" w:eastAsia="宋体" w:hAnsi="Times New Roman" w:hint="eastAsia"/>
          <w:b/>
          <w:sz w:val="24"/>
        </w:rPr>
        <w:t>十、毕业条件</w:t>
      </w:r>
      <w:bookmarkEnd w:id="14"/>
    </w:p>
    <w:p>
      <w:pPr>
        <w:pStyle w:val="style0"/>
        <w:snapToGrid w:val="false"/>
        <w:spacing w:lineRule="exact" w:line="380"/>
        <w:ind w:firstLine="420" w:firstLineChars="200"/>
        <w:rPr>
          <w:rFonts w:ascii="Times New Roman" w:eastAsia="宋体" w:hAnsi="Times New Roman"/>
          <w:szCs w:val="21"/>
        </w:rPr>
      </w:pPr>
      <w:r>
        <w:rPr>
          <w:rFonts w:ascii="Times New Roman" w:eastAsia="宋体" w:hAnsi="Times New Roman" w:hint="eastAsia"/>
          <w:szCs w:val="21"/>
        </w:rPr>
        <w:t>学生必须修满166学分，所有课程全部考核合格，至少取得一个专业证书，参加不少于13周岗位实习，并成绩合格。</w:t>
      </w:r>
    </w:p>
    <w:bookmarkStart w:id="15" w:name="_Toc327706756"/>
    <w:p>
      <w:pPr>
        <w:pStyle w:val="style0"/>
        <w:snapToGrid w:val="false"/>
        <w:spacing w:lineRule="exact" w:line="380"/>
        <w:ind w:firstLine="482" w:firstLineChars="200"/>
        <w:outlineLvl w:val="0"/>
        <w:rPr>
          <w:rFonts w:ascii="Times New Roman" w:eastAsia="宋体" w:hAnsi="Times New Roman"/>
          <w:b/>
          <w:sz w:val="24"/>
        </w:rPr>
      </w:pPr>
    </w:p>
    <w:p>
      <w:pPr>
        <w:pStyle w:val="style0"/>
        <w:snapToGrid w:val="false"/>
        <w:spacing w:lineRule="exact" w:line="380"/>
        <w:ind w:firstLine="482" w:firstLineChars="200"/>
        <w:outlineLvl w:val="0"/>
        <w:rPr>
          <w:rFonts w:ascii="Times New Roman" w:eastAsia="宋体" w:hAnsi="Times New Roman"/>
          <w:b/>
          <w:sz w:val="24"/>
        </w:rPr>
      </w:pPr>
      <w:r>
        <w:rPr>
          <w:rFonts w:ascii="Times New Roman" w:eastAsia="宋体" w:hAnsi="Times New Roman" w:hint="eastAsia"/>
          <w:b/>
          <w:sz w:val="24"/>
        </w:rPr>
        <w:t>十一、专业教学指导委员会成员表</w:t>
      </w:r>
      <w:bookmarkEnd w:id="15"/>
    </w:p>
    <w:p>
      <w:pPr>
        <w:pStyle w:val="style0"/>
        <w:snapToGrid w:val="false"/>
        <w:jc w:val="center"/>
        <w:rPr>
          <w:rFonts w:ascii="Times New Roman" w:eastAsia="宋体" w:hAnsi="Times New Roman"/>
          <w:b/>
          <w:szCs w:val="21"/>
        </w:rPr>
      </w:pPr>
    </w:p>
    <w:p>
      <w:pPr>
        <w:pStyle w:val="style0"/>
        <w:snapToGrid w:val="false"/>
        <w:jc w:val="center"/>
        <w:rPr>
          <w:rFonts w:ascii="Times New Roman" w:eastAsia="宋体" w:hAnsi="Times New Roman"/>
          <w:szCs w:val="21"/>
        </w:rPr>
      </w:pPr>
      <w:r>
        <w:rPr>
          <w:rFonts w:ascii="Times New Roman" w:eastAsia="宋体" w:hAnsi="Times New Roman" w:hint="eastAsia"/>
          <w:b/>
          <w:szCs w:val="21"/>
        </w:rPr>
        <w:t>专业教学指导委员会成员一览表</w:t>
      </w:r>
    </w:p>
    <w:tbl>
      <w:tblPr>
        <w:tblStyle w:val="style105"/>
        <w:tblW w:w="9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41"/>
        <w:gridCol w:w="821"/>
        <w:gridCol w:w="2441"/>
        <w:gridCol w:w="904"/>
        <w:gridCol w:w="904"/>
        <w:gridCol w:w="904"/>
        <w:gridCol w:w="1544"/>
        <w:gridCol w:w="1135"/>
      </w:tblGrid>
      <w:tr>
        <w:trPr>
          <w:trHeight w:val="315" w:hRule="atLeast"/>
          <w:jc w:val="center"/>
        </w:trPr>
        <w:tc>
          <w:tcPr>
            <w:tcW w:w="441" w:type="dxa"/>
            <w:vMerge w:val="restart"/>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r>
              <w:rPr>
                <w:rFonts w:ascii="Times New Roman" w:eastAsia="宋体" w:hAnsi="Times New Roman" w:hint="eastAsia"/>
                <w:b/>
                <w:bCs/>
                <w:sz w:val="18"/>
                <w:szCs w:val="18"/>
              </w:rPr>
              <w:t>序号</w:t>
            </w:r>
          </w:p>
        </w:tc>
        <w:tc>
          <w:tcPr>
            <w:tcW w:w="821" w:type="dxa"/>
            <w:vMerge w:val="restart"/>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r>
              <w:rPr>
                <w:rFonts w:ascii="Times New Roman" w:eastAsia="宋体" w:hAnsi="Times New Roman" w:hint="eastAsia"/>
                <w:b/>
                <w:bCs/>
                <w:sz w:val="18"/>
                <w:szCs w:val="18"/>
              </w:rPr>
              <w:t>姓名</w:t>
            </w:r>
          </w:p>
        </w:tc>
        <w:tc>
          <w:tcPr>
            <w:tcW w:w="2441" w:type="dxa"/>
            <w:vMerge w:val="restart"/>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r>
              <w:rPr>
                <w:rFonts w:ascii="Times New Roman" w:eastAsia="宋体" w:hAnsi="Times New Roman" w:hint="eastAsia"/>
                <w:b/>
                <w:bCs/>
                <w:sz w:val="18"/>
                <w:szCs w:val="18"/>
              </w:rPr>
              <w:t>单位</w:t>
            </w:r>
          </w:p>
        </w:tc>
        <w:tc>
          <w:tcPr>
            <w:tcW w:w="904" w:type="dxa"/>
            <w:vMerge w:val="restart"/>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r>
              <w:rPr>
                <w:rFonts w:ascii="Times New Roman" w:eastAsia="宋体" w:hAnsi="Times New Roman" w:hint="eastAsia"/>
                <w:b/>
                <w:bCs/>
                <w:sz w:val="18"/>
                <w:szCs w:val="18"/>
              </w:rPr>
              <w:t>职称</w:t>
            </w:r>
          </w:p>
        </w:tc>
        <w:tc>
          <w:tcPr>
            <w:tcW w:w="904" w:type="dxa"/>
            <w:vMerge w:val="restart"/>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r>
              <w:rPr>
                <w:rFonts w:ascii="Times New Roman" w:eastAsia="宋体" w:hAnsi="Times New Roman" w:hint="eastAsia"/>
                <w:b/>
                <w:bCs/>
                <w:sz w:val="18"/>
                <w:szCs w:val="18"/>
              </w:rPr>
              <w:t>职务</w:t>
            </w:r>
          </w:p>
        </w:tc>
        <w:tc>
          <w:tcPr>
            <w:tcW w:w="904" w:type="dxa"/>
            <w:vMerge w:val="restart"/>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r>
              <w:rPr>
                <w:rFonts w:ascii="Times New Roman" w:eastAsia="宋体" w:hAnsi="Times New Roman" w:hint="eastAsia"/>
                <w:b/>
                <w:bCs/>
                <w:sz w:val="18"/>
                <w:szCs w:val="18"/>
              </w:rPr>
              <w:t>委员会</w:t>
            </w:r>
          </w:p>
          <w:p>
            <w:pPr>
              <w:pStyle w:val="style0"/>
              <w:tabs>
                <w:tab w:val="left" w:leader="none" w:pos="900"/>
              </w:tabs>
              <w:snapToGrid w:val="false"/>
              <w:spacing w:lineRule="exact" w:line="360"/>
              <w:jc w:val="center"/>
              <w:rPr>
                <w:rFonts w:ascii="Times New Roman" w:eastAsia="宋体" w:hAnsi="Times New Roman"/>
                <w:b/>
                <w:bCs/>
                <w:sz w:val="18"/>
                <w:szCs w:val="18"/>
              </w:rPr>
            </w:pPr>
            <w:r>
              <w:rPr>
                <w:rFonts w:ascii="Times New Roman" w:eastAsia="宋体" w:hAnsi="Times New Roman" w:hint="eastAsia"/>
                <w:b/>
                <w:bCs/>
                <w:sz w:val="18"/>
                <w:szCs w:val="18"/>
              </w:rPr>
              <w:t>职务</w:t>
            </w:r>
          </w:p>
        </w:tc>
        <w:tc>
          <w:tcPr>
            <w:tcW w:w="2679" w:type="dxa"/>
            <w:gridSpan w:val="2"/>
            <w:tcBorders>
              <w:bottom w:val="single" w:sz="4" w:space="0" w:color="auto"/>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r>
              <w:rPr>
                <w:rFonts w:ascii="Times New Roman" w:eastAsia="宋体" w:hAnsi="Times New Roman" w:hint="eastAsia"/>
                <w:b/>
                <w:bCs/>
                <w:sz w:val="18"/>
                <w:szCs w:val="18"/>
              </w:rPr>
              <w:t>联系方式</w:t>
            </w:r>
          </w:p>
        </w:tc>
      </w:tr>
      <w:tr>
        <w:tblPrEx/>
        <w:trPr>
          <w:trHeight w:val="315" w:hRule="atLeast"/>
          <w:jc w:val="center"/>
        </w:trPr>
        <w:tc>
          <w:tcPr>
            <w:tcW w:w="441" w:type="dxa"/>
            <w:vMerge w:val="continue"/>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p>
        </w:tc>
        <w:tc>
          <w:tcPr>
            <w:tcW w:w="821" w:type="dxa"/>
            <w:vMerge w:val="continue"/>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p>
        </w:tc>
        <w:tc>
          <w:tcPr>
            <w:tcW w:w="2441" w:type="dxa"/>
            <w:vMerge w:val="continue"/>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p>
        </w:tc>
        <w:tc>
          <w:tcPr>
            <w:tcW w:w="904" w:type="dxa"/>
            <w:vMerge w:val="continue"/>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p>
        </w:tc>
        <w:tc>
          <w:tcPr>
            <w:tcW w:w="904" w:type="dxa"/>
            <w:vMerge w:val="continue"/>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p>
        </w:tc>
        <w:tc>
          <w:tcPr>
            <w:tcW w:w="904" w:type="dxa"/>
            <w:vMerge w:val="continue"/>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p>
        </w:tc>
        <w:tc>
          <w:tcPr>
            <w:tcW w:w="1544" w:type="dxa"/>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r>
              <w:rPr>
                <w:rFonts w:ascii="Times New Roman" w:eastAsia="宋体" w:hAnsi="Times New Roman" w:hint="eastAsia"/>
                <w:b/>
                <w:bCs/>
                <w:sz w:val="18"/>
                <w:szCs w:val="18"/>
              </w:rPr>
              <w:t>电子邮件</w:t>
            </w:r>
          </w:p>
        </w:tc>
        <w:tc>
          <w:tcPr>
            <w:tcW w:w="1135" w:type="dxa"/>
            <w:tcBorders/>
            <w:shd w:val="clear" w:color="auto" w:fill="ffffff"/>
            <w:vAlign w:val="center"/>
          </w:tcPr>
          <w:p>
            <w:pPr>
              <w:pStyle w:val="style0"/>
              <w:tabs>
                <w:tab w:val="left" w:leader="none" w:pos="900"/>
              </w:tabs>
              <w:snapToGrid w:val="false"/>
              <w:spacing w:lineRule="exact" w:line="360"/>
              <w:jc w:val="center"/>
              <w:rPr>
                <w:rFonts w:ascii="Times New Roman" w:eastAsia="宋体" w:hAnsi="Times New Roman"/>
                <w:b/>
                <w:bCs/>
                <w:sz w:val="18"/>
                <w:szCs w:val="18"/>
              </w:rPr>
            </w:pPr>
            <w:r>
              <w:rPr>
                <w:rFonts w:ascii="Times New Roman" w:eastAsia="宋体" w:hAnsi="Times New Roman" w:hint="eastAsia"/>
                <w:b/>
                <w:bCs/>
                <w:sz w:val="18"/>
                <w:szCs w:val="18"/>
              </w:rPr>
              <w:t>联系电话</w:t>
            </w:r>
          </w:p>
        </w:tc>
      </w:tr>
      <w:tr>
        <w:tblPrEx/>
        <w:trPr>
          <w:trHeight w:val="495" w:hRule="atLeast"/>
          <w:jc w:val="center"/>
        </w:trPr>
        <w:tc>
          <w:tcPr>
            <w:tcW w:w="441" w:type="dxa"/>
            <w:tcBorders/>
            <w:vAlign w:val="center"/>
          </w:tcPr>
          <w:p>
            <w:pPr>
              <w:pStyle w:val="style0"/>
              <w:tabs>
                <w:tab w:val="left" w:leader="none" w:pos="900"/>
              </w:tabs>
              <w:snapToGrid w:val="false"/>
              <w:spacing w:lineRule="exact" w:line="360"/>
              <w:rPr>
                <w:rFonts w:ascii="Times New Roman" w:eastAsia="宋体" w:hAnsi="Times New Roman"/>
                <w:sz w:val="18"/>
                <w:szCs w:val="18"/>
              </w:rPr>
            </w:pPr>
            <w:r>
              <w:rPr>
                <w:rFonts w:ascii="宋体" w:eastAsia="宋体" w:hAnsi="宋体" w:hint="eastAsia"/>
                <w:sz w:val="18"/>
                <w:szCs w:val="18"/>
              </w:rPr>
              <w:t>1</w:t>
            </w:r>
          </w:p>
        </w:tc>
        <w:tc>
          <w:tcPr>
            <w:tcW w:w="82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胡晖</w:t>
            </w:r>
          </w:p>
        </w:tc>
        <w:tc>
          <w:tcPr>
            <w:tcW w:w="244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江西工业贸易职业技术学院</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教授</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副院长</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主任</w:t>
            </w:r>
          </w:p>
        </w:tc>
        <w:tc>
          <w:tcPr>
            <w:tcW w:w="154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sz w:val="18"/>
                <w:szCs w:val="18"/>
              </w:rPr>
              <w:t>363844933@</w:t>
            </w:r>
            <w:r>
              <w:rPr>
                <w:rFonts w:ascii="宋体" w:eastAsia="宋体" w:hAnsi="宋体" w:hint="eastAsia"/>
                <w:sz w:val="18"/>
                <w:szCs w:val="18"/>
              </w:rPr>
              <w:t>qq.com</w:t>
            </w:r>
          </w:p>
        </w:tc>
        <w:tc>
          <w:tcPr>
            <w:tcW w:w="1135"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1</w:t>
            </w:r>
            <w:r>
              <w:rPr>
                <w:rFonts w:ascii="宋体" w:eastAsia="宋体" w:hAnsi="宋体"/>
                <w:sz w:val="18"/>
                <w:szCs w:val="18"/>
              </w:rPr>
              <w:t>3970966673</w:t>
            </w:r>
          </w:p>
        </w:tc>
      </w:tr>
      <w:tr>
        <w:tblPrEx/>
        <w:trPr>
          <w:trHeight w:val="495" w:hRule="atLeast"/>
          <w:jc w:val="center"/>
        </w:trPr>
        <w:tc>
          <w:tcPr>
            <w:tcW w:w="441" w:type="dxa"/>
            <w:tcBorders/>
            <w:vAlign w:val="center"/>
          </w:tcPr>
          <w:p>
            <w:pPr>
              <w:pStyle w:val="style0"/>
              <w:tabs>
                <w:tab w:val="left" w:leader="none" w:pos="900"/>
              </w:tabs>
              <w:snapToGrid w:val="false"/>
              <w:spacing w:lineRule="exact" w:line="360"/>
              <w:rPr>
                <w:rFonts w:ascii="Times New Roman" w:eastAsia="宋体" w:hAnsi="Times New Roman"/>
                <w:sz w:val="18"/>
                <w:szCs w:val="18"/>
              </w:rPr>
            </w:pPr>
            <w:r>
              <w:rPr>
                <w:rFonts w:ascii="宋体" w:eastAsia="宋体" w:hAnsi="宋体" w:hint="eastAsia"/>
                <w:sz w:val="18"/>
                <w:szCs w:val="18"/>
              </w:rPr>
              <w:t>2</w:t>
            </w:r>
          </w:p>
        </w:tc>
        <w:tc>
          <w:tcPr>
            <w:tcW w:w="82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夏昕</w:t>
            </w:r>
          </w:p>
        </w:tc>
        <w:tc>
          <w:tcPr>
            <w:tcW w:w="244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江西工业贸易职业技术学院</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副教授</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系主任</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副主任</w:t>
            </w:r>
          </w:p>
        </w:tc>
        <w:tc>
          <w:tcPr>
            <w:tcW w:w="1544"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bCs/>
                <w:sz w:val="18"/>
                <w:szCs w:val="18"/>
              </w:rPr>
              <w:t>66630777</w:t>
            </w:r>
            <w:r>
              <w:rPr>
                <w:rFonts w:ascii="宋体" w:cs="Times New Roman" w:eastAsia="宋体" w:hAnsi="宋体" w:hint="eastAsia"/>
                <w:bCs/>
                <w:sz w:val="18"/>
                <w:szCs w:val="18"/>
              </w:rPr>
              <w:t>@qq.com</w:t>
            </w:r>
          </w:p>
        </w:tc>
        <w:tc>
          <w:tcPr>
            <w:tcW w:w="1135"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bCs/>
                <w:sz w:val="18"/>
                <w:szCs w:val="18"/>
              </w:rPr>
              <w:t>18170898308</w:t>
            </w:r>
          </w:p>
        </w:tc>
      </w:tr>
      <w:tr>
        <w:tblPrEx/>
        <w:trPr>
          <w:trHeight w:val="495" w:hRule="atLeast"/>
          <w:jc w:val="center"/>
        </w:trPr>
        <w:tc>
          <w:tcPr>
            <w:tcW w:w="441" w:type="dxa"/>
            <w:tcBorders/>
            <w:vAlign w:val="center"/>
          </w:tcPr>
          <w:p>
            <w:pPr>
              <w:pStyle w:val="style0"/>
              <w:tabs>
                <w:tab w:val="left" w:leader="none" w:pos="900"/>
              </w:tabs>
              <w:snapToGrid w:val="false"/>
              <w:spacing w:lineRule="exact" w:line="360"/>
              <w:rPr>
                <w:rFonts w:ascii="Times New Roman" w:eastAsia="宋体" w:hAnsi="Times New Roman"/>
                <w:sz w:val="18"/>
                <w:szCs w:val="18"/>
              </w:rPr>
            </w:pPr>
            <w:r>
              <w:rPr>
                <w:rFonts w:ascii="宋体" w:eastAsia="宋体" w:hAnsi="宋体" w:hint="eastAsia"/>
                <w:sz w:val="18"/>
                <w:szCs w:val="18"/>
              </w:rPr>
              <w:t>3</w:t>
            </w:r>
          </w:p>
        </w:tc>
        <w:tc>
          <w:tcPr>
            <w:tcW w:w="82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王</w:t>
            </w:r>
            <w:r>
              <w:rPr>
                <w:rFonts w:ascii="宋体" w:eastAsia="宋体" w:hAnsi="宋体"/>
                <w:sz w:val="18"/>
                <w:szCs w:val="18"/>
              </w:rPr>
              <w:t>俊</w:t>
            </w:r>
          </w:p>
        </w:tc>
        <w:tc>
          <w:tcPr>
            <w:tcW w:w="244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上海岐力信息科技有限公司</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工程师</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总</w:t>
            </w:r>
            <w:r>
              <w:rPr>
                <w:rFonts w:ascii="宋体" w:eastAsia="宋体" w:hAnsi="宋体"/>
                <w:sz w:val="18"/>
                <w:szCs w:val="18"/>
              </w:rPr>
              <w:t>经理</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副主任</w:t>
            </w:r>
          </w:p>
        </w:tc>
        <w:tc>
          <w:tcPr>
            <w:tcW w:w="154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sz w:val="18"/>
                <w:szCs w:val="18"/>
              </w:rPr>
              <w:t>wangjun@shqlxx.com</w:t>
            </w:r>
          </w:p>
        </w:tc>
        <w:tc>
          <w:tcPr>
            <w:tcW w:w="1135"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sz w:val="18"/>
                <w:szCs w:val="18"/>
              </w:rPr>
              <w:t>18601728888</w:t>
            </w:r>
          </w:p>
        </w:tc>
      </w:tr>
      <w:tr>
        <w:tblPrEx/>
        <w:trPr>
          <w:trHeight w:val="495" w:hRule="atLeast"/>
          <w:jc w:val="center"/>
        </w:trPr>
        <w:tc>
          <w:tcPr>
            <w:tcW w:w="441" w:type="dxa"/>
            <w:tcBorders/>
            <w:vAlign w:val="center"/>
          </w:tcPr>
          <w:p>
            <w:pPr>
              <w:pStyle w:val="style0"/>
              <w:tabs>
                <w:tab w:val="left" w:leader="none" w:pos="900"/>
              </w:tabs>
              <w:snapToGrid w:val="false"/>
              <w:spacing w:lineRule="exact" w:line="360"/>
              <w:rPr>
                <w:rFonts w:ascii="Times New Roman" w:eastAsia="宋体" w:hAnsi="Times New Roman"/>
                <w:sz w:val="18"/>
                <w:szCs w:val="18"/>
              </w:rPr>
            </w:pPr>
            <w:r>
              <w:rPr>
                <w:rFonts w:ascii="宋体" w:eastAsia="宋体" w:hAnsi="宋体" w:hint="eastAsia"/>
                <w:sz w:val="18"/>
                <w:szCs w:val="18"/>
              </w:rPr>
              <w:t>4</w:t>
            </w:r>
          </w:p>
        </w:tc>
        <w:tc>
          <w:tcPr>
            <w:tcW w:w="82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邱利</w:t>
            </w:r>
            <w:r>
              <w:rPr>
                <w:rFonts w:ascii="宋体" w:eastAsia="宋体" w:hAnsi="宋体"/>
                <w:sz w:val="18"/>
                <w:szCs w:val="18"/>
              </w:rPr>
              <w:t>娟</w:t>
            </w:r>
          </w:p>
        </w:tc>
        <w:tc>
          <w:tcPr>
            <w:tcW w:w="244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杭州四喜信息技术有限公司</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工程师</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经理</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副主任</w:t>
            </w:r>
          </w:p>
        </w:tc>
        <w:tc>
          <w:tcPr>
            <w:tcW w:w="154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2355394006@qq.com</w:t>
            </w:r>
          </w:p>
        </w:tc>
        <w:tc>
          <w:tcPr>
            <w:tcW w:w="1135"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13758121609</w:t>
            </w:r>
          </w:p>
        </w:tc>
      </w:tr>
      <w:tr>
        <w:tblPrEx/>
        <w:trPr>
          <w:trHeight w:val="495" w:hRule="atLeast"/>
          <w:jc w:val="center"/>
        </w:trPr>
        <w:tc>
          <w:tcPr>
            <w:tcW w:w="441" w:type="dxa"/>
            <w:tcBorders/>
            <w:vAlign w:val="center"/>
          </w:tcPr>
          <w:p>
            <w:pPr>
              <w:pStyle w:val="style0"/>
              <w:tabs>
                <w:tab w:val="left" w:leader="none" w:pos="900"/>
              </w:tabs>
              <w:snapToGrid w:val="false"/>
              <w:spacing w:lineRule="exact" w:line="360"/>
              <w:rPr>
                <w:rFonts w:ascii="Times New Roman" w:eastAsia="宋体" w:hAnsi="Times New Roman"/>
                <w:sz w:val="18"/>
                <w:szCs w:val="18"/>
              </w:rPr>
            </w:pPr>
            <w:r>
              <w:rPr>
                <w:rFonts w:ascii="宋体" w:eastAsia="宋体" w:hAnsi="宋体" w:hint="eastAsia"/>
                <w:sz w:val="18"/>
                <w:szCs w:val="18"/>
              </w:rPr>
              <w:t>5</w:t>
            </w:r>
          </w:p>
        </w:tc>
        <w:tc>
          <w:tcPr>
            <w:tcW w:w="82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艾春斌</w:t>
            </w:r>
          </w:p>
        </w:tc>
        <w:tc>
          <w:tcPr>
            <w:tcW w:w="244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深圳市春日电子有限公司</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工程师</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总经理</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委员</w:t>
            </w:r>
          </w:p>
        </w:tc>
        <w:tc>
          <w:tcPr>
            <w:tcW w:w="154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sz w:val="18"/>
                <w:szCs w:val="18"/>
              </w:rPr>
              <w:t>173928870@</w:t>
            </w:r>
            <w:r>
              <w:rPr>
                <w:rFonts w:ascii="宋体" w:eastAsia="宋体" w:hAnsi="宋体" w:hint="eastAsia"/>
                <w:sz w:val="18"/>
                <w:szCs w:val="18"/>
              </w:rPr>
              <w:t>qq</w:t>
            </w:r>
            <w:r>
              <w:rPr>
                <w:rFonts w:ascii="宋体" w:eastAsia="宋体" w:hAnsi="宋体"/>
                <w:sz w:val="18"/>
                <w:szCs w:val="18"/>
              </w:rPr>
              <w:t>.com</w:t>
            </w:r>
          </w:p>
        </w:tc>
        <w:tc>
          <w:tcPr>
            <w:tcW w:w="1135"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sz w:val="18"/>
                <w:szCs w:val="18"/>
              </w:rPr>
              <w:t>13923719152</w:t>
            </w:r>
          </w:p>
        </w:tc>
      </w:tr>
      <w:tr>
        <w:tblPrEx/>
        <w:trPr>
          <w:trHeight w:val="495" w:hRule="atLeast"/>
          <w:jc w:val="center"/>
        </w:trPr>
        <w:tc>
          <w:tcPr>
            <w:tcW w:w="441" w:type="dxa"/>
            <w:tcBorders/>
            <w:vAlign w:val="center"/>
          </w:tcPr>
          <w:p>
            <w:pPr>
              <w:pStyle w:val="style0"/>
              <w:tabs>
                <w:tab w:val="left" w:leader="none" w:pos="900"/>
              </w:tabs>
              <w:snapToGrid w:val="false"/>
              <w:spacing w:lineRule="exact" w:line="360"/>
              <w:rPr>
                <w:rFonts w:ascii="Times New Roman" w:eastAsia="宋体" w:hAnsi="Times New Roman"/>
                <w:sz w:val="18"/>
                <w:szCs w:val="18"/>
              </w:rPr>
            </w:pPr>
            <w:r>
              <w:rPr>
                <w:rFonts w:ascii="宋体" w:eastAsia="宋体" w:hAnsi="宋体" w:hint="eastAsia"/>
                <w:sz w:val="18"/>
                <w:szCs w:val="18"/>
              </w:rPr>
              <w:t>6</w:t>
            </w:r>
          </w:p>
        </w:tc>
        <w:tc>
          <w:tcPr>
            <w:tcW w:w="82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徐高球</w:t>
            </w:r>
          </w:p>
        </w:tc>
        <w:tc>
          <w:tcPr>
            <w:tcW w:w="244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上海煦昱网络科技有限公司</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工程师</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总经理</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委员</w:t>
            </w:r>
          </w:p>
        </w:tc>
        <w:tc>
          <w:tcPr>
            <w:tcW w:w="154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sz w:val="18"/>
                <w:szCs w:val="18"/>
              </w:rPr>
              <w:t>793695073@</w:t>
            </w:r>
            <w:r>
              <w:rPr>
                <w:rFonts w:ascii="宋体" w:eastAsia="宋体" w:hAnsi="宋体" w:hint="eastAsia"/>
                <w:sz w:val="18"/>
                <w:szCs w:val="18"/>
              </w:rPr>
              <w:t>qq</w:t>
            </w:r>
            <w:r>
              <w:rPr>
                <w:rFonts w:ascii="宋体" w:eastAsia="宋体" w:hAnsi="宋体"/>
                <w:sz w:val="18"/>
                <w:szCs w:val="18"/>
              </w:rPr>
              <w:t>.com</w:t>
            </w:r>
          </w:p>
        </w:tc>
        <w:tc>
          <w:tcPr>
            <w:tcW w:w="1135"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sz w:val="18"/>
                <w:szCs w:val="18"/>
              </w:rPr>
              <w:t>17701867475</w:t>
            </w:r>
          </w:p>
        </w:tc>
      </w:tr>
      <w:tr>
        <w:tblPrEx/>
        <w:trPr>
          <w:trHeight w:val="495" w:hRule="atLeast"/>
          <w:jc w:val="center"/>
        </w:trPr>
        <w:tc>
          <w:tcPr>
            <w:tcW w:w="441" w:type="dxa"/>
            <w:tcBorders/>
            <w:vAlign w:val="center"/>
          </w:tcPr>
          <w:p>
            <w:pPr>
              <w:pStyle w:val="style0"/>
              <w:tabs>
                <w:tab w:val="left" w:leader="none" w:pos="900"/>
              </w:tabs>
              <w:snapToGrid w:val="false"/>
              <w:spacing w:lineRule="exact" w:line="360"/>
              <w:rPr>
                <w:rFonts w:ascii="Times New Roman" w:eastAsia="宋体" w:hAnsi="Times New Roman"/>
                <w:sz w:val="18"/>
                <w:szCs w:val="18"/>
              </w:rPr>
            </w:pPr>
            <w:r>
              <w:rPr>
                <w:rFonts w:ascii="宋体" w:eastAsia="宋体" w:hAnsi="宋体" w:hint="eastAsia"/>
                <w:sz w:val="18"/>
                <w:szCs w:val="18"/>
              </w:rPr>
              <w:t>7</w:t>
            </w:r>
          </w:p>
        </w:tc>
        <w:tc>
          <w:tcPr>
            <w:tcW w:w="82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周诗渊</w:t>
            </w:r>
          </w:p>
        </w:tc>
        <w:tc>
          <w:tcPr>
            <w:tcW w:w="244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上海岐力信息科技有限公司</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工程师</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经理</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委员</w:t>
            </w:r>
          </w:p>
        </w:tc>
        <w:tc>
          <w:tcPr>
            <w:tcW w:w="154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sz w:val="18"/>
                <w:szCs w:val="18"/>
              </w:rPr>
              <w:t>zhousy@qlxxnc.com</w:t>
            </w:r>
          </w:p>
        </w:tc>
        <w:tc>
          <w:tcPr>
            <w:tcW w:w="1135"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sz w:val="18"/>
                <w:szCs w:val="18"/>
              </w:rPr>
              <w:t>18000287732</w:t>
            </w:r>
          </w:p>
        </w:tc>
      </w:tr>
      <w:tr>
        <w:tblPrEx/>
        <w:trPr>
          <w:trHeight w:val="495" w:hRule="atLeast"/>
          <w:jc w:val="center"/>
        </w:trPr>
        <w:tc>
          <w:tcPr>
            <w:tcW w:w="441" w:type="dxa"/>
            <w:tcBorders/>
            <w:vAlign w:val="center"/>
          </w:tcPr>
          <w:p>
            <w:pPr>
              <w:pStyle w:val="style0"/>
              <w:tabs>
                <w:tab w:val="left" w:leader="none" w:pos="900"/>
              </w:tabs>
              <w:snapToGrid w:val="false"/>
              <w:spacing w:lineRule="exact" w:line="360"/>
              <w:rPr>
                <w:rFonts w:ascii="Times New Roman" w:eastAsia="宋体" w:hAnsi="Times New Roman"/>
                <w:sz w:val="18"/>
                <w:szCs w:val="18"/>
              </w:rPr>
            </w:pPr>
            <w:r>
              <w:rPr>
                <w:rFonts w:ascii="宋体" w:eastAsia="宋体" w:hAnsi="宋体" w:hint="eastAsia"/>
                <w:sz w:val="18"/>
                <w:szCs w:val="18"/>
              </w:rPr>
              <w:t>8</w:t>
            </w:r>
          </w:p>
        </w:tc>
        <w:tc>
          <w:tcPr>
            <w:tcW w:w="82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王卓勤</w:t>
            </w:r>
          </w:p>
        </w:tc>
        <w:tc>
          <w:tcPr>
            <w:tcW w:w="244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江西工业贸易职业技术学院</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教授</w:t>
            </w:r>
          </w:p>
        </w:tc>
        <w:tc>
          <w:tcPr>
            <w:tcW w:w="904"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eastAsia="宋体" w:hAnsi="宋体" w:hint="eastAsia"/>
                <w:sz w:val="18"/>
                <w:szCs w:val="18"/>
              </w:rPr>
              <w:t>电子商务专业带头人</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委员</w:t>
            </w:r>
          </w:p>
        </w:tc>
        <w:tc>
          <w:tcPr>
            <w:tcW w:w="154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sz w:val="18"/>
                <w:szCs w:val="18"/>
              </w:rPr>
              <w:t>852218186@</w:t>
            </w:r>
            <w:r>
              <w:rPr>
                <w:rFonts w:ascii="宋体" w:eastAsia="宋体" w:hAnsi="宋体" w:hint="eastAsia"/>
                <w:sz w:val="18"/>
                <w:szCs w:val="18"/>
              </w:rPr>
              <w:t>qq</w:t>
            </w:r>
            <w:r>
              <w:rPr>
                <w:rFonts w:ascii="宋体" w:eastAsia="宋体" w:hAnsi="宋体"/>
                <w:sz w:val="18"/>
                <w:szCs w:val="18"/>
              </w:rPr>
              <w:t>.com</w:t>
            </w:r>
          </w:p>
        </w:tc>
        <w:tc>
          <w:tcPr>
            <w:tcW w:w="1135"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13907916165</w:t>
            </w:r>
          </w:p>
        </w:tc>
      </w:tr>
      <w:tr>
        <w:tblPrEx/>
        <w:trPr>
          <w:trHeight w:val="495" w:hRule="atLeast"/>
          <w:jc w:val="center"/>
        </w:trPr>
        <w:tc>
          <w:tcPr>
            <w:tcW w:w="441" w:type="dxa"/>
            <w:tcBorders/>
            <w:vAlign w:val="center"/>
          </w:tcPr>
          <w:p>
            <w:pPr>
              <w:pStyle w:val="style0"/>
              <w:tabs>
                <w:tab w:val="left" w:leader="none" w:pos="900"/>
              </w:tabs>
              <w:snapToGrid w:val="false"/>
              <w:spacing w:lineRule="exact" w:line="360"/>
              <w:rPr>
                <w:rFonts w:ascii="Times New Roman" w:eastAsia="宋体" w:hAnsi="Times New Roman"/>
                <w:sz w:val="18"/>
                <w:szCs w:val="18"/>
              </w:rPr>
            </w:pPr>
            <w:r>
              <w:rPr>
                <w:rFonts w:ascii="宋体" w:eastAsia="宋体" w:hAnsi="宋体" w:hint="eastAsia"/>
                <w:sz w:val="18"/>
                <w:szCs w:val="18"/>
              </w:rPr>
              <w:t>9</w:t>
            </w:r>
          </w:p>
        </w:tc>
        <w:tc>
          <w:tcPr>
            <w:tcW w:w="821" w:type="dxa"/>
            <w:tcBorders/>
            <w:vAlign w:val="center"/>
          </w:tcPr>
          <w:p>
            <w:pPr>
              <w:pStyle w:val="style0"/>
              <w:jc w:val="center"/>
              <w:rPr>
                <w:rFonts w:ascii="Times New Roman" w:eastAsia="宋体" w:hAnsi="Times New Roman"/>
                <w:sz w:val="18"/>
                <w:szCs w:val="18"/>
              </w:rPr>
            </w:pPr>
            <w:r>
              <w:rPr>
                <w:rFonts w:ascii="宋体" w:eastAsia="宋体" w:hAnsi="宋体" w:hint="eastAsia"/>
                <w:sz w:val="18"/>
                <w:szCs w:val="18"/>
              </w:rPr>
              <w:t>熊浩</w:t>
            </w:r>
          </w:p>
        </w:tc>
        <w:tc>
          <w:tcPr>
            <w:tcW w:w="2441"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hint="eastAsia"/>
                <w:bCs/>
                <w:sz w:val="18"/>
                <w:szCs w:val="18"/>
              </w:rPr>
              <w:t>江西工业贸易职业技术学院</w:t>
            </w:r>
          </w:p>
        </w:tc>
        <w:tc>
          <w:tcPr>
            <w:tcW w:w="904"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hint="eastAsia"/>
                <w:bCs/>
                <w:sz w:val="18"/>
                <w:szCs w:val="18"/>
              </w:rPr>
              <w:t>副教授、工程师</w:t>
            </w:r>
          </w:p>
        </w:tc>
        <w:tc>
          <w:tcPr>
            <w:tcW w:w="904"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hint="eastAsia"/>
                <w:bCs/>
                <w:sz w:val="18"/>
                <w:szCs w:val="18"/>
              </w:rPr>
              <w:t>系副主任</w:t>
            </w:r>
          </w:p>
        </w:tc>
        <w:tc>
          <w:tcPr>
            <w:tcW w:w="904"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hint="eastAsia"/>
                <w:bCs/>
                <w:sz w:val="18"/>
                <w:szCs w:val="18"/>
              </w:rPr>
              <w:t>副主任</w:t>
            </w:r>
          </w:p>
        </w:tc>
        <w:tc>
          <w:tcPr>
            <w:tcW w:w="1544"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bCs/>
                <w:sz w:val="18"/>
                <w:szCs w:val="18"/>
              </w:rPr>
              <w:t>37185639</w:t>
            </w:r>
            <w:r>
              <w:rPr>
                <w:rFonts w:ascii="宋体" w:cs="Times New Roman" w:eastAsia="宋体" w:hAnsi="宋体" w:hint="eastAsia"/>
                <w:bCs/>
                <w:sz w:val="18"/>
                <w:szCs w:val="18"/>
              </w:rPr>
              <w:t>@qq.com</w:t>
            </w:r>
          </w:p>
        </w:tc>
        <w:tc>
          <w:tcPr>
            <w:tcW w:w="1135"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bCs/>
                <w:sz w:val="18"/>
                <w:szCs w:val="18"/>
              </w:rPr>
              <w:t>13767129618</w:t>
            </w:r>
          </w:p>
        </w:tc>
      </w:tr>
      <w:tr>
        <w:tblPrEx/>
        <w:trPr>
          <w:trHeight w:val="495" w:hRule="atLeast"/>
          <w:jc w:val="center"/>
        </w:trPr>
        <w:tc>
          <w:tcPr>
            <w:tcW w:w="441" w:type="dxa"/>
            <w:tcBorders/>
            <w:vAlign w:val="center"/>
          </w:tcPr>
          <w:p>
            <w:pPr>
              <w:pStyle w:val="style0"/>
              <w:tabs>
                <w:tab w:val="left" w:leader="none" w:pos="900"/>
              </w:tabs>
              <w:snapToGrid w:val="false"/>
              <w:spacing w:lineRule="exact" w:line="360"/>
              <w:rPr>
                <w:rFonts w:ascii="Times New Roman" w:eastAsia="宋体" w:hAnsi="Times New Roman"/>
                <w:sz w:val="18"/>
                <w:szCs w:val="18"/>
              </w:rPr>
            </w:pPr>
            <w:r>
              <w:rPr>
                <w:rFonts w:ascii="宋体" w:eastAsia="宋体" w:hAnsi="宋体" w:hint="eastAsia"/>
                <w:sz w:val="18"/>
                <w:szCs w:val="18"/>
              </w:rPr>
              <w:t>10</w:t>
            </w:r>
          </w:p>
        </w:tc>
        <w:tc>
          <w:tcPr>
            <w:tcW w:w="821" w:type="dxa"/>
            <w:tcBorders/>
            <w:vAlign w:val="center"/>
          </w:tcPr>
          <w:p>
            <w:pPr>
              <w:pStyle w:val="style0"/>
              <w:jc w:val="center"/>
              <w:rPr>
                <w:rFonts w:ascii="Times New Roman" w:eastAsia="宋体" w:hAnsi="Times New Roman"/>
                <w:sz w:val="18"/>
                <w:szCs w:val="18"/>
              </w:rPr>
            </w:pPr>
            <w:r>
              <w:rPr>
                <w:rFonts w:ascii="宋体" w:eastAsia="宋体" w:hAnsi="宋体" w:hint="eastAsia"/>
                <w:sz w:val="18"/>
                <w:szCs w:val="18"/>
              </w:rPr>
              <w:t>周斯昱</w:t>
            </w:r>
          </w:p>
        </w:tc>
        <w:tc>
          <w:tcPr>
            <w:tcW w:w="2441"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hint="eastAsia"/>
                <w:bCs/>
                <w:sz w:val="18"/>
                <w:szCs w:val="18"/>
              </w:rPr>
              <w:t>江西工业贸易职业技术学院</w:t>
            </w:r>
          </w:p>
        </w:tc>
        <w:tc>
          <w:tcPr>
            <w:tcW w:w="904"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hint="eastAsia"/>
                <w:bCs/>
                <w:sz w:val="18"/>
                <w:szCs w:val="18"/>
              </w:rPr>
              <w:t>讲师</w:t>
            </w:r>
          </w:p>
        </w:tc>
        <w:tc>
          <w:tcPr>
            <w:tcW w:w="904"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hint="eastAsia"/>
                <w:bCs/>
                <w:sz w:val="18"/>
                <w:szCs w:val="18"/>
              </w:rPr>
              <w:t>教研室主任</w:t>
            </w:r>
          </w:p>
        </w:tc>
        <w:tc>
          <w:tcPr>
            <w:tcW w:w="904"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hint="eastAsia"/>
                <w:bCs/>
                <w:sz w:val="18"/>
                <w:szCs w:val="18"/>
              </w:rPr>
              <w:t>委员</w:t>
            </w:r>
          </w:p>
        </w:tc>
        <w:tc>
          <w:tcPr>
            <w:tcW w:w="1544"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bCs/>
                <w:sz w:val="18"/>
                <w:szCs w:val="18"/>
              </w:rPr>
              <w:t>364747887</w:t>
            </w:r>
            <w:r>
              <w:rPr>
                <w:rFonts w:ascii="宋体" w:cs="Times New Roman" w:eastAsia="宋体" w:hAnsi="宋体" w:hint="eastAsia"/>
                <w:bCs/>
                <w:sz w:val="18"/>
                <w:szCs w:val="18"/>
              </w:rPr>
              <w:t>@qq.com</w:t>
            </w:r>
          </w:p>
        </w:tc>
        <w:tc>
          <w:tcPr>
            <w:tcW w:w="1135"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bCs/>
                <w:sz w:val="18"/>
                <w:szCs w:val="18"/>
              </w:rPr>
              <w:t>18170979770</w:t>
            </w:r>
          </w:p>
        </w:tc>
      </w:tr>
      <w:tr>
        <w:tblPrEx/>
        <w:trPr>
          <w:trHeight w:val="495" w:hRule="atLeast"/>
          <w:jc w:val="center"/>
        </w:trPr>
        <w:tc>
          <w:tcPr>
            <w:tcW w:w="441" w:type="dxa"/>
            <w:tcBorders/>
            <w:vAlign w:val="center"/>
          </w:tcPr>
          <w:p>
            <w:pPr>
              <w:pStyle w:val="style0"/>
              <w:tabs>
                <w:tab w:val="left" w:leader="none" w:pos="900"/>
              </w:tabs>
              <w:snapToGrid w:val="false"/>
              <w:spacing w:lineRule="exact" w:line="360"/>
              <w:rPr>
                <w:rFonts w:ascii="Times New Roman" w:eastAsia="宋体" w:hAnsi="Times New Roman"/>
                <w:sz w:val="18"/>
                <w:szCs w:val="18"/>
              </w:rPr>
            </w:pPr>
            <w:r>
              <w:rPr>
                <w:rFonts w:ascii="宋体" w:eastAsia="宋体" w:hAnsi="宋体" w:hint="eastAsia"/>
                <w:szCs w:val="21"/>
              </w:rPr>
              <w:t>1</w:t>
            </w:r>
            <w:r>
              <w:rPr>
                <w:rFonts w:ascii="宋体" w:eastAsia="宋体" w:hAnsi="宋体"/>
                <w:szCs w:val="21"/>
              </w:rPr>
              <w:t>1</w:t>
            </w:r>
          </w:p>
        </w:tc>
        <w:tc>
          <w:tcPr>
            <w:tcW w:w="82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余云晖</w:t>
            </w:r>
          </w:p>
        </w:tc>
        <w:tc>
          <w:tcPr>
            <w:tcW w:w="2441"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江西工业贸易职业技术学院</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cs="Times New Roman" w:eastAsia="宋体" w:hAnsi="宋体" w:hint="eastAsia"/>
                <w:bCs/>
                <w:sz w:val="18"/>
                <w:szCs w:val="18"/>
              </w:rPr>
              <w:t>副教授</w:t>
            </w:r>
          </w:p>
        </w:tc>
        <w:tc>
          <w:tcPr>
            <w:tcW w:w="904" w:type="dxa"/>
            <w:tcBorders/>
            <w:vAlign w:val="center"/>
          </w:tcPr>
          <w:p>
            <w:pPr>
              <w:pStyle w:val="style0"/>
              <w:tabs>
                <w:tab w:val="left" w:leader="none" w:pos="900"/>
              </w:tabs>
              <w:snapToGrid w:val="false"/>
              <w:jc w:val="center"/>
              <w:rPr>
                <w:rFonts w:ascii="Times New Roman" w:eastAsia="宋体" w:hAnsi="Times New Roman"/>
                <w:sz w:val="18"/>
                <w:szCs w:val="18"/>
              </w:rPr>
            </w:pPr>
            <w:r>
              <w:rPr>
                <w:rFonts w:ascii="宋体" w:cs="Times New Roman" w:eastAsia="宋体" w:hAnsi="宋体" w:hint="eastAsia"/>
                <w:bCs/>
                <w:sz w:val="18"/>
                <w:szCs w:val="18"/>
              </w:rPr>
              <w:t>教师</w:t>
            </w:r>
          </w:p>
        </w:tc>
        <w:tc>
          <w:tcPr>
            <w:tcW w:w="90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委员</w:t>
            </w:r>
          </w:p>
        </w:tc>
        <w:tc>
          <w:tcPr>
            <w:tcW w:w="1544"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sz w:val="18"/>
                <w:szCs w:val="18"/>
              </w:rPr>
              <w:t>183415960@</w:t>
            </w:r>
            <w:r>
              <w:rPr>
                <w:rFonts w:ascii="宋体" w:eastAsia="宋体" w:hAnsi="宋体" w:hint="eastAsia"/>
                <w:sz w:val="18"/>
                <w:szCs w:val="18"/>
              </w:rPr>
              <w:t>qq</w:t>
            </w:r>
            <w:r>
              <w:rPr>
                <w:rFonts w:ascii="宋体" w:eastAsia="宋体" w:hAnsi="宋体"/>
                <w:sz w:val="18"/>
                <w:szCs w:val="18"/>
              </w:rPr>
              <w:t>.com</w:t>
            </w:r>
          </w:p>
        </w:tc>
        <w:tc>
          <w:tcPr>
            <w:tcW w:w="1135" w:type="dxa"/>
            <w:tcBorders/>
            <w:vAlign w:val="center"/>
          </w:tcPr>
          <w:p>
            <w:pPr>
              <w:pStyle w:val="style0"/>
              <w:tabs>
                <w:tab w:val="left" w:leader="none" w:pos="900"/>
              </w:tabs>
              <w:snapToGrid w:val="false"/>
              <w:spacing w:lineRule="exact" w:line="360"/>
              <w:jc w:val="center"/>
              <w:rPr>
                <w:rFonts w:ascii="Times New Roman" w:eastAsia="宋体" w:hAnsi="Times New Roman"/>
                <w:sz w:val="18"/>
                <w:szCs w:val="18"/>
              </w:rPr>
            </w:pPr>
            <w:r>
              <w:rPr>
                <w:rFonts w:ascii="宋体" w:eastAsia="宋体" w:hAnsi="宋体" w:hint="eastAsia"/>
                <w:sz w:val="18"/>
                <w:szCs w:val="18"/>
              </w:rPr>
              <w:t>13870950208</w:t>
            </w:r>
          </w:p>
        </w:tc>
      </w:tr>
    </w:tbl>
    <w:p>
      <w:pPr>
        <w:pStyle w:val="style0"/>
        <w:rPr>
          <w:rFonts w:ascii="Times New Roman" w:eastAsia="宋体" w:hAnsi="Times New Roman"/>
        </w:rPr>
      </w:pPr>
    </w:p>
    <w:tbl>
      <w:tblPr>
        <w:tblStyle w:val="style105"/>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069"/>
        <w:gridCol w:w="2539"/>
        <w:gridCol w:w="2342"/>
        <w:gridCol w:w="2292"/>
      </w:tblGrid>
      <w:tr>
        <w:trPr>
          <w:trHeight w:val="510" w:hRule="exact"/>
          <w:jc w:val="center"/>
        </w:trPr>
        <w:tc>
          <w:tcPr>
            <w:tcW w:w="2069" w:type="dxa"/>
            <w:tcBorders/>
            <w:vAlign w:val="center"/>
          </w:tcPr>
          <w:p>
            <w:pPr>
              <w:pStyle w:val="style0"/>
              <w:spacing w:lineRule="auto" w:line="480"/>
              <w:rPr>
                <w:rFonts w:ascii="Times New Roman" w:eastAsia="宋体" w:hAnsi="Times New Roman"/>
                <w:sz w:val="18"/>
                <w:szCs w:val="18"/>
              </w:rPr>
            </w:pPr>
            <w:r>
              <w:rPr>
                <w:rFonts w:ascii="Times New Roman" w:eastAsia="宋体" w:hAnsi="Times New Roman" w:hint="eastAsia"/>
                <w:sz w:val="18"/>
                <w:szCs w:val="18"/>
              </w:rPr>
              <w:t>执笔人签名：</w:t>
            </w:r>
          </w:p>
        </w:tc>
        <w:tc>
          <w:tcPr>
            <w:tcW w:w="2539" w:type="dxa"/>
            <w:tcBorders/>
            <w:vAlign w:val="center"/>
          </w:tcPr>
          <w:p>
            <w:pPr>
              <w:pStyle w:val="style0"/>
              <w:spacing w:lineRule="auto" w:line="480"/>
              <w:rPr>
                <w:rFonts w:ascii="Times New Roman" w:eastAsia="宋体" w:hAnsi="Times New Roman"/>
                <w:sz w:val="18"/>
                <w:szCs w:val="18"/>
              </w:rPr>
            </w:pPr>
          </w:p>
        </w:tc>
        <w:tc>
          <w:tcPr>
            <w:tcW w:w="2342" w:type="dxa"/>
            <w:tcBorders/>
            <w:vAlign w:val="center"/>
          </w:tcPr>
          <w:p>
            <w:pPr>
              <w:pStyle w:val="style0"/>
              <w:spacing w:lineRule="auto" w:line="480"/>
              <w:rPr>
                <w:rFonts w:ascii="Times New Roman" w:eastAsia="宋体" w:hAnsi="Times New Roman"/>
                <w:sz w:val="18"/>
                <w:szCs w:val="18"/>
              </w:rPr>
            </w:pPr>
            <w:r>
              <w:rPr>
                <w:rFonts w:ascii="Times New Roman" w:eastAsia="宋体" w:hAnsi="Times New Roman" w:hint="eastAsia"/>
                <w:sz w:val="18"/>
                <w:szCs w:val="18"/>
              </w:rPr>
              <w:t>系主任审核：</w:t>
            </w:r>
          </w:p>
        </w:tc>
        <w:tc>
          <w:tcPr>
            <w:tcW w:w="2292" w:type="dxa"/>
            <w:tcBorders/>
            <w:vAlign w:val="center"/>
          </w:tcPr>
          <w:p>
            <w:pPr>
              <w:pStyle w:val="style0"/>
              <w:spacing w:lineRule="auto" w:line="480"/>
              <w:rPr>
                <w:rFonts w:ascii="Times New Roman" w:eastAsia="宋体" w:hAnsi="Times New Roman"/>
                <w:sz w:val="18"/>
                <w:szCs w:val="18"/>
              </w:rPr>
            </w:pPr>
          </w:p>
        </w:tc>
      </w:tr>
      <w:tr>
        <w:tblPrEx/>
        <w:trPr>
          <w:trHeight w:val="510" w:hRule="exact"/>
          <w:jc w:val="center"/>
        </w:trPr>
        <w:tc>
          <w:tcPr>
            <w:tcW w:w="2069" w:type="dxa"/>
            <w:tcBorders/>
            <w:vAlign w:val="center"/>
          </w:tcPr>
          <w:p>
            <w:pPr>
              <w:pStyle w:val="style0"/>
              <w:spacing w:lineRule="auto" w:line="480"/>
              <w:rPr>
                <w:rFonts w:ascii="Times New Roman" w:eastAsia="宋体" w:hAnsi="Times New Roman"/>
                <w:sz w:val="18"/>
                <w:szCs w:val="18"/>
              </w:rPr>
            </w:pPr>
            <w:r>
              <w:rPr>
                <w:rFonts w:ascii="Times New Roman" w:eastAsia="宋体" w:hAnsi="Times New Roman" w:hint="eastAsia"/>
                <w:sz w:val="18"/>
                <w:szCs w:val="18"/>
              </w:rPr>
              <w:t>参与人员签名：</w:t>
            </w:r>
          </w:p>
        </w:tc>
        <w:tc>
          <w:tcPr>
            <w:tcW w:w="2539" w:type="dxa"/>
            <w:tcBorders/>
            <w:vAlign w:val="center"/>
          </w:tcPr>
          <w:p>
            <w:pPr>
              <w:pStyle w:val="style0"/>
              <w:spacing w:lineRule="auto" w:line="480"/>
              <w:rPr>
                <w:rFonts w:ascii="Times New Roman" w:eastAsia="宋体" w:hAnsi="Times New Roman"/>
                <w:sz w:val="18"/>
                <w:szCs w:val="18"/>
              </w:rPr>
            </w:pPr>
          </w:p>
        </w:tc>
        <w:tc>
          <w:tcPr>
            <w:tcW w:w="2342" w:type="dxa"/>
            <w:tcBorders/>
            <w:vAlign w:val="center"/>
          </w:tcPr>
          <w:p>
            <w:pPr>
              <w:pStyle w:val="style0"/>
              <w:spacing w:lineRule="auto" w:line="480"/>
              <w:rPr>
                <w:rFonts w:ascii="Times New Roman" w:eastAsia="宋体" w:hAnsi="Times New Roman"/>
                <w:sz w:val="18"/>
                <w:szCs w:val="18"/>
              </w:rPr>
            </w:pPr>
            <w:r>
              <w:rPr>
                <w:rFonts w:ascii="Times New Roman" w:eastAsia="宋体" w:hAnsi="Times New Roman" w:hint="eastAsia"/>
                <w:sz w:val="18"/>
                <w:szCs w:val="18"/>
              </w:rPr>
              <w:t>教学管理部门审核：</w:t>
            </w:r>
          </w:p>
        </w:tc>
        <w:tc>
          <w:tcPr>
            <w:tcW w:w="2292" w:type="dxa"/>
            <w:tcBorders/>
            <w:vAlign w:val="center"/>
          </w:tcPr>
          <w:p>
            <w:pPr>
              <w:pStyle w:val="style0"/>
              <w:spacing w:lineRule="auto" w:line="480"/>
              <w:rPr>
                <w:rFonts w:ascii="Times New Roman" w:eastAsia="宋体" w:hAnsi="Times New Roman"/>
                <w:sz w:val="18"/>
                <w:szCs w:val="18"/>
              </w:rPr>
            </w:pPr>
          </w:p>
        </w:tc>
      </w:tr>
      <w:tr>
        <w:tblPrEx/>
        <w:trPr>
          <w:trHeight w:val="510" w:hRule="exact"/>
          <w:jc w:val="center"/>
        </w:trPr>
        <w:tc>
          <w:tcPr>
            <w:tcW w:w="2069" w:type="dxa"/>
            <w:tcBorders/>
            <w:vAlign w:val="center"/>
          </w:tcPr>
          <w:p>
            <w:pPr>
              <w:pStyle w:val="style0"/>
              <w:spacing w:lineRule="auto" w:line="480"/>
              <w:rPr>
                <w:rFonts w:ascii="Times New Roman" w:eastAsia="宋体" w:hAnsi="Times New Roman"/>
                <w:sz w:val="18"/>
                <w:szCs w:val="18"/>
              </w:rPr>
            </w:pPr>
            <w:r>
              <w:rPr>
                <w:rFonts w:ascii="Times New Roman" w:eastAsia="宋体" w:hAnsi="Times New Roman" w:hint="eastAsia"/>
                <w:sz w:val="18"/>
                <w:szCs w:val="18"/>
              </w:rPr>
              <w:t>专业负责人审核：</w:t>
            </w:r>
          </w:p>
        </w:tc>
        <w:tc>
          <w:tcPr>
            <w:tcW w:w="2539" w:type="dxa"/>
            <w:tcBorders/>
            <w:vAlign w:val="center"/>
          </w:tcPr>
          <w:p>
            <w:pPr>
              <w:pStyle w:val="style0"/>
              <w:spacing w:lineRule="auto" w:line="480"/>
              <w:rPr>
                <w:rFonts w:ascii="Times New Roman" w:eastAsia="宋体" w:hAnsi="Times New Roman"/>
                <w:sz w:val="18"/>
                <w:szCs w:val="18"/>
              </w:rPr>
            </w:pPr>
          </w:p>
        </w:tc>
        <w:tc>
          <w:tcPr>
            <w:tcW w:w="2342" w:type="dxa"/>
            <w:tcBorders/>
            <w:vAlign w:val="center"/>
          </w:tcPr>
          <w:p>
            <w:pPr>
              <w:pStyle w:val="style0"/>
              <w:spacing w:lineRule="auto" w:line="480"/>
              <w:rPr>
                <w:rFonts w:ascii="Times New Roman" w:eastAsia="宋体" w:hAnsi="Times New Roman"/>
                <w:sz w:val="18"/>
                <w:szCs w:val="18"/>
              </w:rPr>
            </w:pPr>
            <w:r>
              <w:rPr>
                <w:rFonts w:ascii="Times New Roman" w:eastAsia="宋体" w:hAnsi="Times New Roman" w:hint="eastAsia"/>
                <w:sz w:val="18"/>
                <w:szCs w:val="18"/>
              </w:rPr>
              <w:t>教学副院长审核：</w:t>
            </w:r>
          </w:p>
        </w:tc>
        <w:tc>
          <w:tcPr>
            <w:tcW w:w="2292" w:type="dxa"/>
            <w:tcBorders/>
            <w:vAlign w:val="center"/>
          </w:tcPr>
          <w:p>
            <w:pPr>
              <w:pStyle w:val="style0"/>
              <w:spacing w:lineRule="auto" w:line="480"/>
              <w:rPr>
                <w:rFonts w:ascii="Times New Roman" w:eastAsia="宋体" w:hAnsi="Times New Roman"/>
                <w:sz w:val="18"/>
                <w:szCs w:val="18"/>
              </w:rPr>
            </w:pPr>
          </w:p>
        </w:tc>
      </w:tr>
    </w:tbl>
    <w:p>
      <w:pPr>
        <w:pStyle w:val="style0"/>
        <w:rPr>
          <w:rFonts w:ascii="Times New Roman" w:eastAsia="宋体" w:hAnsi="Times New Roman"/>
        </w:rPr>
      </w:pPr>
    </w:p>
    <w:sectPr>
      <w:headerReference w:type="default" r:id="rId2"/>
      <w:footerReference w:type="even" r:id="rId3"/>
      <w:footerReference w:type="default" r:id="rId4"/>
      <w:pgSz w:w="11906" w:h="16838" w:orient="portrait"/>
      <w:pgMar w:top="2098" w:right="1474" w:bottom="1985" w:left="1814"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200247B" w:usb2="00000009" w:usb3="00000000" w:csb0="200001FF" w:csb1="00000000"/>
  </w:font>
  <w:font w:name="仿宋">
    <w:altName w:val="仿宋"/>
    <w:panose1 w:val="02010609060001010101"/>
    <w:charset w:val="86"/>
    <w:family w:val="modern"/>
    <w:pitch w:val="default"/>
    <w:sig w:usb0="800002BF" w:usb1="38CF7CFA" w:usb2="00000016" w:usb3="00000000" w:csb0="00040001" w:csb1="00000000"/>
  </w:font>
  <w:font w:name="@仿宋_GB2312">
    <w:altName w:val="@微软雅黑"/>
    <w:panose1 w:val="00000000000000000000"/>
    <w:charset w:val="86"/>
    <w:family w:val="modern"/>
    <w:pitch w:val="default"/>
    <w:sig w:usb0="00000000" w:usb1="00000000" w:usb2="00000000" w:usb3="00000000" w:csb0="00040000" w:csb1="00000000"/>
  </w:font>
  <w:font w:name="Cambria Math">
    <w:altName w:val="Cambria Math"/>
    <w:panose1 w:val="02040503050004030204"/>
    <w:charset w:val="00"/>
    <w:family w:val="roman"/>
    <w:pitch w:val="default"/>
    <w:sig w:usb0="E00006FF" w:usb1="420024FF" w:usb2="02000000" w:usb3="00000000" w:csb0="2000019F" w:csb1="00000000"/>
  </w:font>
  <w:font w:name="Segoe UI">
    <w:altName w:val="Segoe UI"/>
    <w:panose1 w:val="020b0502040002020203"/>
    <w:charset w:val="00"/>
    <w:family w:val="swiss"/>
    <w:pitch w:val="default"/>
    <w:sig w:usb0="E4002EFF" w:usb1="C000E47F" w:usb2="00000009" w:usb3="00000000" w:csb0="200001FF" w:csb1="00000000"/>
  </w:font>
  <w:font w:name="@微软雅黑">
    <w:altName w:val="@微软雅黑"/>
    <w:panose1 w:val="020b0503020002020204"/>
    <w:charset w:val="86"/>
    <w:family w:val="auto"/>
    <w:pitch w:val="default"/>
    <w:sig w:usb0="80000287" w:usb1="2ACF3C50" w:usb2="00000016" w:usb3="00000000" w:csb0="0004001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framePr w:wrap="around" w:hAnchor="margin" w:vAnchor="text" w:xAlign="center" w:y="1"/>
      <w:rPr>
        <w:rStyle w:val="style41"/>
      </w:rPr>
    </w:pPr>
    <w:r>
      <w:rPr/>
      <w:fldChar w:fldCharType="begin"/>
    </w:r>
    <w:r>
      <w:rPr>
        <w:rStyle w:val="style41"/>
      </w:rPr>
      <w:instrText xml:space="preserve">PAGE  </w:instrText>
    </w:r>
    <w:r>
      <w:rPr/>
      <w:fldChar w:fldCharType="end"/>
    </w:r>
  </w:p>
  <w:p>
    <w:pPr>
      <w:pStyle w:val="style32"/>
      <w:rPr/>
    </w:pP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r>
      <w:rPr/>
      <mc:AlternateContent>
        <mc:Choice Requires="wps">
          <w:drawing>
            <wp:anchor distT="0" distB="0" distL="0" distR="0" simplePos="false" relativeHeight="2" behindDoc="false" locked="false" layoutInCell="true" allowOverlap="true">
              <wp:simplePos x="0" y="0"/>
              <wp:positionH relativeFrom="margin">
                <wp:align>outside</wp:align>
              </wp:positionH>
              <wp:positionV relativeFrom="paragraph">
                <wp:posOffset>0</wp:posOffset>
              </wp:positionV>
              <wp:extent cx="334010" cy="172720"/>
              <wp:effectExtent l="0" t="0" r="0" b="0"/>
              <wp:wrapNone/>
              <wp:docPr id="4097" name="文本框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34010" cy="172720"/>
                      </a:xfrm>
                      <a:prstGeom prst="rect"/>
                      <a:ln>
                        <a:noFill/>
                      </a:ln>
                    </wps:spPr>
                    <wps:txbx id="4097">
                      <w:txbxContent>
                        <w:p>
                          <w:pPr>
                            <w:pStyle w:val="style0"/>
                            <w:snapToGrid w:val="false"/>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- 16 -</w:t>
                          </w:r>
                          <w:r>
                            <w:rPr>
                              <w:rFonts w:hint="eastAsia"/>
                              <w:sz w:val="18"/>
                            </w:rPr>
                            <w:fldChar w:fldCharType="end"/>
                          </w:r>
                        </w:p>
                      </w:txbxContent>
                    </wps:txbx>
                    <wps:bodyPr lIns="0" rIns="0" tIns="0" bIns="0" vert="horz" anchor="t" wrap="none" upright="true">
                      <a:prstTxWarp prst="textNoShape"/>
                      <a:spAutoFit/>
                    </wps:bodyPr>
                  </wps:wsp>
                </a:graphicData>
              </a:graphic>
            </wp:anchor>
          </w:drawing>
        </mc:Choice>
        <mc:Fallback>
          <w:pict>
            <v:rect id="4097" filled="f" stroked="f" style="position:absolute;margin-left:0.0pt;margin-top:0.0pt;width:26.3pt;height:13.6pt;z-index:2;mso-position-horizontal:outside;mso-position-horizontal-relative:margin;mso-position-vertical-relative:text;mso-width-relative:page;mso-height-relative:page;mso-wrap-distance-left:0.0pt;mso-wrap-distance-right:0.0pt;visibility:visible;mso-wrap-style:none;">
              <v:stroke on="f"/>
              <v:fill/>
              <v:textbox inset="0.0pt,0.0pt,0.0pt,0.0pt" style="mso-fit-shape-to-text:true;">
                <w:txbxContent>
                  <w:p>
                    <w:pPr>
                      <w:pStyle w:val="style0"/>
                      <w:snapToGrid w:val="false"/>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- 16 -</w:t>
                    </w:r>
                    <w:r>
                      <w:rPr>
                        <w:rFonts w:hint="eastAsia"/>
                        <w:sz w:val="18"/>
                      </w:rPr>
                      <w:fldChar w:fldCharType="end"/>
                    </w:r>
                  </w:p>
                </w:txbxContent>
              </v:textbox>
            </v:rect>
          </w:pict>
        </mc:Fallback>
      </mc:AlternateConten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pBdr>
        <w:bottom w:val="none" w:sz="0" w:space="1" w:color="auto"/>
      </w:pBd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AA64D46F"/>
    <w:lvl w:ilvl="0">
      <w:start w:val="19"/>
      <w:numFmt w:val="decimal"/>
      <w:suff w:val="nothing"/>
      <w:lvlText w:val="（%1）"/>
      <w:lvlJc w:val="left"/>
      <w:pPr/>
    </w:lvl>
  </w:abstractNum>
  <w:abstractNum w:abstractNumId="1">
    <w:nsid w:val="00000001"/>
    <w:multiLevelType w:val="singleLevel"/>
    <w:tmpl w:val="E97F7FB4"/>
    <w:lvl w:ilvl="0">
      <w:start w:val="2"/>
      <w:numFmt w:val="decimal"/>
      <w:suff w:val="nothing"/>
      <w:lvlText w:val="（%1）"/>
      <w:lvlJc w:val="left"/>
      <w:pPr/>
    </w:lvl>
  </w:abstractNum>
  <w:abstractNum w:abstractNumId="2">
    <w:nsid w:val="00000002"/>
    <w:multiLevelType w:val="multilevel"/>
    <w:tmpl w:val="0BA278D3"/>
    <w:lvl w:ilvl="0">
      <w:start w:val="1"/>
      <w:numFmt w:val="decimal"/>
      <w:lvlText w:val="（%1）"/>
      <w:lvlJc w:val="left"/>
      <w:pPr>
        <w:ind w:left="840" w:hanging="420"/>
      </w:pPr>
      <w:rPr>
        <w:rFonts w:hint="default"/>
        <w:lang w:val="en-US"/>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00000003"/>
    <w:multiLevelType w:val="multilevel"/>
    <w:tmpl w:val="17723761"/>
    <w:lvl w:ilvl="0">
      <w:start w:val="1"/>
      <w:numFmt w:val="decimal"/>
      <w:lvlText w:val="%1."/>
      <w:lvlJc w:val="left"/>
      <w:pPr>
        <w:ind w:left="780" w:hanging="360"/>
      </w:pPr>
      <w:rPr>
        <w:rFonts w:hint="default"/>
      </w:rPr>
    </w:lvl>
    <w:lvl w:ilvl="1">
      <w:start w:val="1"/>
      <w:numFmt w:val="decimal"/>
      <w:lvlText w:val="（%2）"/>
      <w:lvlJc w:val="left"/>
      <w:pPr>
        <w:ind w:left="1560" w:hanging="720"/>
      </w:pPr>
      <w:rPr>
        <w:rFonts w:hint="default"/>
      </w:rPr>
    </w:lvl>
    <w:lvl w:ilvl="2">
      <w:start w:val="1"/>
      <w:numFmt w:val="decimal"/>
      <w:lvlText w:val="(%3)"/>
      <w:lvlJc w:val="left"/>
      <w:pPr>
        <w:ind w:left="1620" w:hanging="360"/>
      </w:pPr>
      <w:rPr>
        <w:rFonts w:hint="default"/>
      </w:r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00000004"/>
    <w:multiLevelType w:val="multilevel"/>
    <w:tmpl w:val="23BA5E9C"/>
    <w:lvl w:ilvl="0">
      <w:start w:val="1"/>
      <w:numFmt w:val="bullet"/>
      <w:lvlText w:val=""/>
      <w:lvlJc w:val="left"/>
      <w:pPr>
        <w:tabs>
          <w:tab w:val="left" w:leader="none" w:pos="420"/>
        </w:tabs>
        <w:ind w:left="420" w:hanging="420"/>
      </w:pPr>
      <w:rPr>
        <w:rFonts w:ascii="Wingdings" w:hAnsi="Wingdings" w:hint="default"/>
      </w:rPr>
    </w:lvl>
    <w:lvl w:ilvl="1">
      <w:start w:val="1"/>
      <w:numFmt w:val="decimal"/>
      <w:lvlText w:val="（%2）"/>
      <w:lvlJc w:val="left"/>
      <w:pPr>
        <w:tabs>
          <w:tab w:val="left" w:leader="none" w:pos="840"/>
        </w:tabs>
        <w:ind w:left="840" w:hanging="420"/>
      </w:pPr>
      <w:rPr>
        <w:rFonts w:hint="eastAsia"/>
      </w:rPr>
    </w:lvl>
    <w:lvl w:ilvl="2">
      <w:start w:val="1"/>
      <w:numFmt w:val="bullet"/>
      <w:lvlText w:val=""/>
      <w:lvlJc w:val="left"/>
      <w:pPr>
        <w:tabs>
          <w:tab w:val="left" w:leader="none" w:pos="1260"/>
        </w:tabs>
        <w:ind w:left="1260" w:hanging="420"/>
      </w:pPr>
      <w:rPr>
        <w:rFonts w:ascii="Wingdings" w:hAnsi="Wingdings" w:hint="default"/>
      </w:rPr>
    </w:lvl>
    <w:lvl w:ilvl="3">
      <w:start w:val="1"/>
      <w:numFmt w:val="bullet"/>
      <w:lvlText w:val=""/>
      <w:lvlJc w:val="left"/>
      <w:pPr>
        <w:tabs>
          <w:tab w:val="left" w:leader="none" w:pos="1680"/>
        </w:tabs>
        <w:ind w:left="1680" w:hanging="420"/>
      </w:pPr>
      <w:rPr>
        <w:rFonts w:ascii="Wingdings" w:hAnsi="Wingdings" w:hint="default"/>
      </w:rPr>
    </w:lvl>
    <w:lvl w:ilvl="4">
      <w:start w:val="1"/>
      <w:numFmt w:val="bullet"/>
      <w:lvlText w:val=""/>
      <w:lvlJc w:val="left"/>
      <w:pPr>
        <w:tabs>
          <w:tab w:val="left" w:leader="none" w:pos="2100"/>
        </w:tabs>
        <w:ind w:left="2100" w:hanging="420"/>
      </w:pPr>
      <w:rPr>
        <w:rFonts w:ascii="Wingdings" w:hAnsi="Wingdings" w:hint="default"/>
      </w:rPr>
    </w:lvl>
    <w:lvl w:ilvl="5">
      <w:start w:val="1"/>
      <w:numFmt w:val="bullet"/>
      <w:lvlText w:val=""/>
      <w:lvlJc w:val="left"/>
      <w:pPr>
        <w:tabs>
          <w:tab w:val="left" w:leader="none" w:pos="2520"/>
        </w:tabs>
        <w:ind w:left="2520" w:hanging="420"/>
      </w:pPr>
      <w:rPr>
        <w:rFonts w:ascii="Wingdings" w:hAnsi="Wingdings" w:hint="default"/>
      </w:rPr>
    </w:lvl>
    <w:lvl w:ilvl="6">
      <w:start w:val="1"/>
      <w:numFmt w:val="bullet"/>
      <w:lvlText w:val=""/>
      <w:lvlJc w:val="left"/>
      <w:pPr>
        <w:tabs>
          <w:tab w:val="left" w:leader="none" w:pos="2940"/>
        </w:tabs>
        <w:ind w:left="2940" w:hanging="420"/>
      </w:pPr>
      <w:rPr>
        <w:rFonts w:ascii="Wingdings" w:hAnsi="Wingdings" w:hint="default"/>
      </w:rPr>
    </w:lvl>
    <w:lvl w:ilvl="7">
      <w:start w:val="1"/>
      <w:numFmt w:val="bullet"/>
      <w:lvlText w:val=""/>
      <w:lvlJc w:val="left"/>
      <w:pPr>
        <w:tabs>
          <w:tab w:val="left" w:leader="none" w:pos="3360"/>
        </w:tabs>
        <w:ind w:left="3360" w:hanging="420"/>
      </w:pPr>
      <w:rPr>
        <w:rFonts w:ascii="Wingdings" w:hAnsi="Wingdings" w:hint="default"/>
      </w:rPr>
    </w:lvl>
    <w:lvl w:ilvl="8">
      <w:start w:val="1"/>
      <w:numFmt w:val="bullet"/>
      <w:lvlText w:val=""/>
      <w:lvlJc w:val="left"/>
      <w:pPr>
        <w:tabs>
          <w:tab w:val="left" w:leader="none" w:pos="3780"/>
        </w:tabs>
        <w:ind w:left="3780" w:hanging="420"/>
      </w:pPr>
      <w:rPr>
        <w:rFonts w:ascii="Wingdings" w:hAnsi="Wingdings" w:hint="default"/>
      </w:rPr>
    </w:lvl>
  </w:abstractNum>
  <w:abstractNum w:abstractNumId="5">
    <w:nsid w:val="00000005"/>
    <w:multiLevelType w:val="multilevel"/>
    <w:tmpl w:val="38137F14"/>
    <w:lvl w:ilvl="0">
      <w:start w:val="1"/>
      <w:numFmt w:val="bullet"/>
      <w:lvlText w:val=""/>
      <w:lvlJc w:val="left"/>
      <w:pPr>
        <w:tabs>
          <w:tab w:val="left" w:leader="none" w:pos="420"/>
        </w:tabs>
        <w:ind w:left="420" w:hanging="420"/>
      </w:pPr>
      <w:rPr>
        <w:rFonts w:ascii="Wingdings" w:hAnsi="Wingdings" w:hint="default"/>
      </w:rPr>
    </w:lvl>
    <w:lvl w:ilvl="1">
      <w:start w:val="1"/>
      <w:numFmt w:val="decimal"/>
      <w:lvlText w:val="（%2）"/>
      <w:lvlJc w:val="left"/>
      <w:pPr>
        <w:tabs>
          <w:tab w:val="left" w:leader="none" w:pos="840"/>
        </w:tabs>
        <w:ind w:left="840" w:hanging="420"/>
      </w:pPr>
      <w:rPr>
        <w:rFonts w:hint="eastAsia"/>
      </w:rPr>
    </w:lvl>
    <w:lvl w:ilvl="2">
      <w:start w:val="1"/>
      <w:numFmt w:val="bullet"/>
      <w:lvlText w:val=""/>
      <w:lvlJc w:val="left"/>
      <w:pPr>
        <w:tabs>
          <w:tab w:val="left" w:leader="none" w:pos="1260"/>
        </w:tabs>
        <w:ind w:left="1260" w:hanging="420"/>
      </w:pPr>
      <w:rPr>
        <w:rFonts w:ascii="Wingdings" w:hAnsi="Wingdings" w:hint="default"/>
      </w:rPr>
    </w:lvl>
    <w:lvl w:ilvl="3">
      <w:start w:val="1"/>
      <w:numFmt w:val="bullet"/>
      <w:lvlText w:val=""/>
      <w:lvlJc w:val="left"/>
      <w:pPr>
        <w:tabs>
          <w:tab w:val="left" w:leader="none" w:pos="1680"/>
        </w:tabs>
        <w:ind w:left="1680" w:hanging="420"/>
      </w:pPr>
      <w:rPr>
        <w:rFonts w:ascii="Wingdings" w:hAnsi="Wingdings" w:hint="default"/>
      </w:rPr>
    </w:lvl>
    <w:lvl w:ilvl="4">
      <w:start w:val="1"/>
      <w:numFmt w:val="bullet"/>
      <w:lvlText w:val=""/>
      <w:lvlJc w:val="left"/>
      <w:pPr>
        <w:tabs>
          <w:tab w:val="left" w:leader="none" w:pos="2100"/>
        </w:tabs>
        <w:ind w:left="2100" w:hanging="420"/>
      </w:pPr>
      <w:rPr>
        <w:rFonts w:ascii="Wingdings" w:hAnsi="Wingdings" w:hint="default"/>
      </w:rPr>
    </w:lvl>
    <w:lvl w:ilvl="5">
      <w:start w:val="1"/>
      <w:numFmt w:val="bullet"/>
      <w:lvlText w:val=""/>
      <w:lvlJc w:val="left"/>
      <w:pPr>
        <w:tabs>
          <w:tab w:val="left" w:leader="none" w:pos="2520"/>
        </w:tabs>
        <w:ind w:left="2520" w:hanging="420"/>
      </w:pPr>
      <w:rPr>
        <w:rFonts w:ascii="Wingdings" w:hAnsi="Wingdings" w:hint="default"/>
      </w:rPr>
    </w:lvl>
    <w:lvl w:ilvl="6">
      <w:start w:val="1"/>
      <w:numFmt w:val="bullet"/>
      <w:lvlText w:val=""/>
      <w:lvlJc w:val="left"/>
      <w:pPr>
        <w:tabs>
          <w:tab w:val="left" w:leader="none" w:pos="2940"/>
        </w:tabs>
        <w:ind w:left="2940" w:hanging="420"/>
      </w:pPr>
      <w:rPr>
        <w:rFonts w:ascii="Wingdings" w:hAnsi="Wingdings" w:hint="default"/>
      </w:rPr>
    </w:lvl>
    <w:lvl w:ilvl="7">
      <w:start w:val="1"/>
      <w:numFmt w:val="bullet"/>
      <w:lvlText w:val=""/>
      <w:lvlJc w:val="left"/>
      <w:pPr>
        <w:tabs>
          <w:tab w:val="left" w:leader="none" w:pos="3360"/>
        </w:tabs>
        <w:ind w:left="3360" w:hanging="420"/>
      </w:pPr>
      <w:rPr>
        <w:rFonts w:ascii="Wingdings" w:hAnsi="Wingdings" w:hint="default"/>
      </w:rPr>
    </w:lvl>
    <w:lvl w:ilvl="8">
      <w:start w:val="1"/>
      <w:numFmt w:val="bullet"/>
      <w:lvlText w:val=""/>
      <w:lvlJc w:val="left"/>
      <w:pPr>
        <w:tabs>
          <w:tab w:val="left" w:leader="none" w:pos="3780"/>
        </w:tabs>
        <w:ind w:left="3780" w:hanging="420"/>
      </w:pPr>
      <w:rPr>
        <w:rFonts w:ascii="Wingdings" w:hAnsi="Wingdings" w:hint="default"/>
      </w:rPr>
    </w:lvl>
  </w:abstractNum>
  <w:abstractNum w:abstractNumId="6">
    <w:nsid w:val="00000006"/>
    <w:multiLevelType w:val="multilevel"/>
    <w:tmpl w:val="45A339F0"/>
    <w:lvl w:ilvl="0">
      <w:start w:val="1"/>
      <w:numFmt w:val="decimal"/>
      <w:lvlText w:val="（%1）"/>
      <w:lvlJc w:val="left"/>
      <w:pPr>
        <w:ind w:left="840" w:hanging="420"/>
      </w:pPr>
      <w:rPr>
        <w:rFonts w:hint="default"/>
        <w:lang w:val="en-US"/>
      </w:rPr>
    </w:lvl>
    <w:lvl w:ilvl="1">
      <w:start w:val="1"/>
      <w:numFmt w:val="decimal"/>
      <w:lvlText w:val="（%2）"/>
      <w:lvlJc w:val="left"/>
      <w:pPr>
        <w:ind w:left="1260" w:hanging="420"/>
      </w:pPr>
      <w:rPr>
        <w:rFont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7">
    <w:nsid w:val="00000007"/>
    <w:multiLevelType w:val="multilevel"/>
    <w:tmpl w:val="51CC4013"/>
    <w:lvl w:ilvl="0">
      <w:start w:val="1"/>
      <w:numFmt w:val="decimal"/>
      <w:lvlText w:val="（%1）"/>
      <w:lvlJc w:val="left"/>
      <w:pPr>
        <w:ind w:left="840" w:hanging="420"/>
      </w:pPr>
      <w:rPr>
        <w:rFonts w:hint="default"/>
        <w:lang w:val="en-US"/>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nsid w:val="00000008"/>
    <w:multiLevelType w:val="multilevel"/>
    <w:tmpl w:val="53BD4F22"/>
    <w:lvl w:ilvl="0">
      <w:start w:val="1"/>
      <w:numFmt w:val="decimal"/>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
    <w:nsid w:val="00000009"/>
    <w:multiLevelType w:val="singleLevel"/>
    <w:tmpl w:val="57313837"/>
    <w:lvl w:ilvl="0">
      <w:start w:val="1"/>
      <w:numFmt w:val="chineseCounting"/>
      <w:suff w:val="nothing"/>
      <w:lvlText w:val="（%1）"/>
      <w:lvlJc w:val="left"/>
      <w:pPr/>
    </w:lvl>
  </w:abstractNum>
  <w:abstractNum w:abstractNumId="10">
    <w:nsid w:val="0000000A"/>
    <w:multiLevelType w:val="multilevel"/>
    <w:tmpl w:val="6B8E6633"/>
    <w:lvl w:ilvl="0">
      <w:start w:val="1"/>
      <w:numFmt w:val="decimal"/>
      <w:lvlText w:val="（%1）"/>
      <w:lvlJc w:val="left"/>
      <w:pPr>
        <w:ind w:left="840" w:hanging="420"/>
      </w:pPr>
      <w:rPr>
        <w:rFonts w:hint="default"/>
      </w:rPr>
    </w:lvl>
    <w:lvl w:ilvl="1">
      <w:start w:val="1"/>
      <w:numFmt w:val="decimal"/>
      <w:lvlText w:val="%2)"/>
      <w:lvlJc w:val="left"/>
      <w:pPr>
        <w:ind w:left="1200" w:hanging="360"/>
      </w:pPr>
      <w:rPr>
        <w:rFont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1">
    <w:nsid w:val="0000000B"/>
    <w:multiLevelType w:val="multilevel"/>
    <w:tmpl w:val="74C15BC6"/>
    <w:lvl w:ilvl="0">
      <w:start w:val="1"/>
      <w:numFmt w:val="decimal"/>
      <w:lvlText w:val="（%1）"/>
      <w:lvlJc w:val="left"/>
      <w:pPr>
        <w:ind w:left="840" w:hanging="420"/>
      </w:pPr>
      <w:rPr>
        <w:rFonts w:hint="default"/>
      </w:rPr>
    </w:lvl>
    <w:lvl w:ilvl="1">
      <w:start w:val="1"/>
      <w:numFmt w:val="decimal"/>
      <w:lvlText w:val="%2、"/>
      <w:lvlJc w:val="left"/>
      <w:pPr>
        <w:ind w:left="922" w:hanging="360"/>
      </w:pPr>
      <w:rPr>
        <w:rFont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2">
    <w:nsid w:val="0000000C"/>
    <w:multiLevelType w:val="multilevel"/>
    <w:tmpl w:val="78C154F3"/>
    <w:lvl w:ilvl="0">
      <w:start w:val="1"/>
      <w:numFmt w:val="bullet"/>
      <w:lvlText w:val=""/>
      <w:lvlJc w:val="left"/>
      <w:pPr>
        <w:tabs>
          <w:tab w:val="left" w:leader="none" w:pos="420"/>
        </w:tabs>
        <w:ind w:left="420" w:hanging="420"/>
      </w:pPr>
      <w:rPr>
        <w:rFonts w:ascii="Wingdings" w:hAnsi="Wingdings" w:hint="default"/>
      </w:rPr>
    </w:lvl>
    <w:lvl w:ilvl="1">
      <w:start w:val="1"/>
      <w:numFmt w:val="decimal"/>
      <w:lvlText w:val="（%2）"/>
      <w:lvlJc w:val="left"/>
      <w:pPr>
        <w:tabs>
          <w:tab w:val="left" w:leader="none" w:pos="840"/>
        </w:tabs>
        <w:ind w:left="840" w:hanging="420"/>
      </w:pPr>
      <w:rPr>
        <w:rFonts w:hint="eastAsia"/>
      </w:rPr>
    </w:lvl>
    <w:lvl w:ilvl="2">
      <w:start w:val="1"/>
      <w:numFmt w:val="bullet"/>
      <w:lvlText w:val=""/>
      <w:lvlJc w:val="left"/>
      <w:pPr>
        <w:tabs>
          <w:tab w:val="left" w:leader="none" w:pos="1260"/>
        </w:tabs>
        <w:ind w:left="1260" w:hanging="420"/>
      </w:pPr>
      <w:rPr>
        <w:rFonts w:ascii="Wingdings" w:hAnsi="Wingdings" w:hint="default"/>
      </w:rPr>
    </w:lvl>
    <w:lvl w:ilvl="3">
      <w:start w:val="1"/>
      <w:numFmt w:val="bullet"/>
      <w:lvlText w:val=""/>
      <w:lvlJc w:val="left"/>
      <w:pPr>
        <w:tabs>
          <w:tab w:val="left" w:leader="none" w:pos="1680"/>
        </w:tabs>
        <w:ind w:left="1680" w:hanging="420"/>
      </w:pPr>
      <w:rPr>
        <w:rFonts w:ascii="Wingdings" w:hAnsi="Wingdings" w:hint="default"/>
      </w:rPr>
    </w:lvl>
    <w:lvl w:ilvl="4">
      <w:start w:val="1"/>
      <w:numFmt w:val="bullet"/>
      <w:lvlText w:val=""/>
      <w:lvlJc w:val="left"/>
      <w:pPr>
        <w:tabs>
          <w:tab w:val="left" w:leader="none" w:pos="2100"/>
        </w:tabs>
        <w:ind w:left="2100" w:hanging="420"/>
      </w:pPr>
      <w:rPr>
        <w:rFonts w:ascii="Wingdings" w:hAnsi="Wingdings" w:hint="default"/>
      </w:rPr>
    </w:lvl>
    <w:lvl w:ilvl="5">
      <w:start w:val="1"/>
      <w:numFmt w:val="bullet"/>
      <w:lvlText w:val=""/>
      <w:lvlJc w:val="left"/>
      <w:pPr>
        <w:tabs>
          <w:tab w:val="left" w:leader="none" w:pos="2520"/>
        </w:tabs>
        <w:ind w:left="2520" w:hanging="420"/>
      </w:pPr>
      <w:rPr>
        <w:rFonts w:ascii="Wingdings" w:hAnsi="Wingdings" w:hint="default"/>
      </w:rPr>
    </w:lvl>
    <w:lvl w:ilvl="6">
      <w:start w:val="1"/>
      <w:numFmt w:val="bullet"/>
      <w:lvlText w:val=""/>
      <w:lvlJc w:val="left"/>
      <w:pPr>
        <w:tabs>
          <w:tab w:val="left" w:leader="none" w:pos="2940"/>
        </w:tabs>
        <w:ind w:left="2940" w:hanging="420"/>
      </w:pPr>
      <w:rPr>
        <w:rFonts w:ascii="Wingdings" w:hAnsi="Wingdings" w:hint="default"/>
      </w:rPr>
    </w:lvl>
    <w:lvl w:ilvl="7">
      <w:start w:val="1"/>
      <w:numFmt w:val="bullet"/>
      <w:lvlText w:val=""/>
      <w:lvlJc w:val="left"/>
      <w:pPr>
        <w:tabs>
          <w:tab w:val="left" w:leader="none" w:pos="3360"/>
        </w:tabs>
        <w:ind w:left="3360" w:hanging="420"/>
      </w:pPr>
      <w:rPr>
        <w:rFonts w:ascii="Wingdings" w:hAnsi="Wingdings" w:hint="default"/>
      </w:rPr>
    </w:lvl>
    <w:lvl w:ilvl="8">
      <w:start w:val="1"/>
      <w:numFmt w:val="bullet"/>
      <w:lvlText w:val=""/>
      <w:lvlJc w:val="left"/>
      <w:pPr>
        <w:tabs>
          <w:tab w:val="left" w:leader="none" w:pos="3780"/>
        </w:tabs>
        <w:ind w:left="3780" w:hanging="420"/>
      </w:pPr>
      <w:rPr>
        <w:rFonts w:ascii="Wingdings" w:hAnsi="Wingdings" w:hint="default"/>
      </w:rPr>
    </w:lvl>
  </w:abstractNum>
  <w:num w:numId="1">
    <w:abstractNumId w:val="3"/>
  </w:num>
  <w:num w:numId="2">
    <w:abstractNumId w:val="11"/>
  </w:num>
  <w:num w:numId="3">
    <w:abstractNumId w:val="10"/>
  </w:num>
  <w:num w:numId="4">
    <w:abstractNumId w:val="6"/>
  </w:num>
  <w:num w:numId="5">
    <w:abstractNumId w:val="8"/>
  </w:num>
  <w:num w:numId="6">
    <w:abstractNumId w:val="7"/>
  </w:num>
  <w:num w:numId="7">
    <w:abstractNumId w:val="2"/>
  </w:num>
  <w:num w:numId="8">
    <w:abstractNumId w:val="9"/>
  </w:num>
  <w:num w:numId="9">
    <w:abstractNumId w:val="1"/>
  </w:num>
  <w:num w:numId="10">
    <w:abstractNumId w:val="0"/>
  </w:num>
  <w:num w:numId="11">
    <w:abstractNumId w:val="5"/>
  </w:num>
  <w:num w:numId="12">
    <w:abstractNumId w:val="12"/>
  </w:num>
  <w:num w:numId="13">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2"/>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420"/>
  <w:drawingGridVerticalSpacing w:val="156"/>
  <w:noPunctuationKerning/>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仿宋_GB2312" w:cs="@仿宋_GB2312" w:eastAsia="@仿宋_GB2312" w:hAnsi="@仿宋_GB2312"/>
      <w:kern w:val="2"/>
      <w:sz w:val="21"/>
      <w:szCs w:val="24"/>
      <w:lang w:val="en-US" w:bidi="ar-SA" w:eastAsia="zh-CN"/>
    </w:rPr>
  </w:style>
  <w:style w:type="paragraph" w:styleId="style2">
    <w:name w:val="heading 2"/>
    <w:basedOn w:val="style0"/>
    <w:next w:val="style0"/>
    <w:qFormat/>
    <w:uiPriority w:val="9"/>
    <w:pPr>
      <w:keepNext/>
      <w:keepLines/>
      <w:spacing w:before="260" w:after="260" w:lineRule="auto" w:line="413"/>
      <w:outlineLvl w:val="1"/>
    </w:pPr>
    <w:rPr>
      <w:b/>
      <w:sz w:val="32"/>
    </w:rPr>
  </w:style>
  <w:style w:type="character" w:default="1" w:styleId="style65">
    <w:name w:val="Default Paragraph Font"/>
    <w:next w:val="style65"/>
    <w:uiPriority w:val="1"/>
  </w:style>
  <w:style w:type="table" w:default="1" w:styleId="style105">
    <w:name w:val="Normal Table"/>
    <w:next w:val="style105"/>
    <w:uiPriority w:val="99"/>
    <w:pPr/>
    <w:rPr/>
    <w:tblPr>
      <w:tblCellMar>
        <w:top w:w="0" w:type="dxa"/>
        <w:left w:w="108" w:type="dxa"/>
        <w:bottom w:w="0" w:type="dxa"/>
        <w:right w:w="108" w:type="dxa"/>
      </w:tblCellMar>
    </w:tblPr>
    <w:tcPr>
      <w:tcBorders/>
    </w:tcPr>
  </w:style>
  <w:style w:type="paragraph" w:styleId="style30">
    <w:name w:val="annotation text"/>
    <w:basedOn w:val="style0"/>
    <w:next w:val="style30"/>
    <w:link w:val="style4099"/>
    <w:qFormat/>
    <w:uiPriority w:val="99"/>
    <w:pPr>
      <w:jc w:val="left"/>
    </w:pPr>
    <w:rPr/>
  </w:style>
  <w:style w:type="paragraph" w:styleId="style81">
    <w:name w:val="Body Text 3"/>
    <w:basedOn w:val="style0"/>
    <w:next w:val="style81"/>
    <w:qFormat/>
    <w:uiPriority w:val="0"/>
    <w:pPr>
      <w:spacing w:after="120"/>
    </w:pPr>
    <w:rPr>
      <w:sz w:val="16"/>
      <w:szCs w:val="16"/>
    </w:rPr>
  </w:style>
  <w:style w:type="paragraph" w:styleId="style67">
    <w:name w:val="Body Text Indent"/>
    <w:basedOn w:val="style0"/>
    <w:next w:val="style67"/>
    <w:link w:val="style4101"/>
    <w:qFormat/>
    <w:uiPriority w:val="0"/>
    <w:pPr>
      <w:tabs>
        <w:tab w:val="left" w:leader="none" w:pos="525"/>
      </w:tabs>
      <w:spacing w:lineRule="exact" w:line="320"/>
      <w:ind w:firstLine="480" w:firstLineChars="200"/>
    </w:pPr>
    <w:rPr>
      <w:sz w:val="24"/>
    </w:rPr>
  </w:style>
  <w:style w:type="paragraph" w:styleId="style90">
    <w:name w:val="Plain Text"/>
    <w:basedOn w:val="style0"/>
    <w:next w:val="style90"/>
    <w:qFormat/>
    <w:uiPriority w:val="0"/>
    <w:pPr/>
    <w:rPr>
      <w:rFonts w:hint="eastAsia"/>
      <w:szCs w:val="20"/>
    </w:rPr>
  </w:style>
  <w:style w:type="paragraph" w:styleId="style82">
    <w:name w:val="Body Text Indent 2"/>
    <w:basedOn w:val="style0"/>
    <w:next w:val="style82"/>
    <w:link w:val="style4097"/>
    <w:qFormat/>
    <w:uiPriority w:val="0"/>
    <w:pPr>
      <w:tabs>
        <w:tab w:val="left" w:leader="none" w:pos="945"/>
      </w:tabs>
      <w:spacing w:lineRule="exact" w:line="360"/>
      <w:ind w:firstLine="538" w:firstLineChars="224"/>
    </w:pPr>
    <w:rPr>
      <w:sz w:val="24"/>
    </w:rPr>
  </w:style>
  <w:style w:type="paragraph" w:styleId="style153">
    <w:name w:val="Balloon Text"/>
    <w:basedOn w:val="style0"/>
    <w:next w:val="style153"/>
    <w:qFormat/>
    <w:uiPriority w:val="0"/>
    <w:pPr/>
    <w:rPr>
      <w:sz w:val="18"/>
      <w:szCs w:val="18"/>
    </w:rPr>
  </w:style>
  <w:style w:type="paragraph" w:styleId="style32">
    <w:name w:val="footer"/>
    <w:basedOn w:val="style0"/>
    <w:next w:val="style32"/>
    <w:qFormat/>
    <w:uiPriority w:val="0"/>
    <w:pPr>
      <w:tabs>
        <w:tab w:val="center" w:leader="none" w:pos="4153"/>
        <w:tab w:val="right" w:leader="none" w:pos="8306"/>
      </w:tabs>
      <w:snapToGrid w:val="false"/>
      <w:jc w:val="left"/>
    </w:pPr>
    <w:rPr>
      <w:sz w:val="18"/>
      <w:szCs w:val="18"/>
    </w:rPr>
  </w:style>
  <w:style w:type="paragraph" w:styleId="style31">
    <w:name w:val="header"/>
    <w:basedOn w:val="style0"/>
    <w:next w:val="style31"/>
    <w:link w:val="style4098"/>
    <w:qFormat/>
    <w:uiPriority w:val="0"/>
    <w:pPr>
      <w:pBdr>
        <w:bottom w:val="single" w:sz="6" w:space="1" w:color="auto"/>
      </w:pBdr>
      <w:tabs>
        <w:tab w:val="center" w:leader="none" w:pos="4153"/>
        <w:tab w:val="right" w:leader="none" w:pos="8306"/>
      </w:tabs>
      <w:snapToGrid w:val="false"/>
      <w:jc w:val="center"/>
    </w:pPr>
    <w:rPr>
      <w:sz w:val="18"/>
      <w:szCs w:val="18"/>
    </w:rPr>
  </w:style>
  <w:style w:type="paragraph" w:styleId="style94">
    <w:name w:val="Normal (Web)"/>
    <w:basedOn w:val="style0"/>
    <w:next w:val="style94"/>
    <w:qFormat/>
    <w:uiPriority w:val="0"/>
    <w:pPr>
      <w:widowControl/>
      <w:spacing w:before="100" w:beforeAutospacing="true" w:after="100" w:afterAutospacing="true"/>
      <w:jc w:val="left"/>
    </w:pPr>
    <w:rPr>
      <w:kern w:val="0"/>
      <w:sz w:val="24"/>
    </w:rPr>
  </w:style>
  <w:style w:type="paragraph" w:styleId="style106">
    <w:name w:val="annotation subject"/>
    <w:basedOn w:val="style30"/>
    <w:next w:val="style30"/>
    <w:link w:val="style4100"/>
    <w:qFormat/>
    <w:uiPriority w:val="99"/>
    <w:pPr/>
    <w:rPr>
      <w:b/>
      <w:bCs/>
    </w:rPr>
  </w:style>
  <w:style w:type="table" w:styleId="style154">
    <w:name w:val="Table Grid"/>
    <w:basedOn w:val="style105"/>
    <w:next w:val="style154"/>
    <w:qFormat/>
    <w:uiPriority w:val="9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41">
    <w:name w:val="page number"/>
    <w:basedOn w:val="style65"/>
    <w:next w:val="style41"/>
    <w:qFormat/>
    <w:uiPriority w:val="0"/>
  </w:style>
  <w:style w:type="character" w:styleId="style39">
    <w:name w:val="annotation reference"/>
    <w:next w:val="style39"/>
    <w:qFormat/>
    <w:uiPriority w:val="99"/>
    <w:rPr>
      <w:sz w:val="21"/>
      <w:szCs w:val="21"/>
    </w:rPr>
  </w:style>
  <w:style w:type="character" w:customStyle="1" w:styleId="style4097">
    <w:name w:val="正文文本缩进 2 字符"/>
    <w:next w:val="style4097"/>
    <w:link w:val="style82"/>
    <w:qFormat/>
    <w:uiPriority w:val="0"/>
    <w:rPr>
      <w:rFonts w:ascii="@仿宋_GB2312" w:eastAsia="@仿宋_GB2312"/>
      <w:kern w:val="2"/>
      <w:sz w:val="24"/>
      <w:szCs w:val="24"/>
      <w:lang w:val="en-US" w:bidi="ar-SA" w:eastAsia="zh-CN"/>
    </w:rPr>
  </w:style>
  <w:style w:type="character" w:customStyle="1" w:styleId="style4098">
    <w:name w:val="页眉 字符"/>
    <w:next w:val="style4098"/>
    <w:link w:val="style31"/>
    <w:qFormat/>
    <w:uiPriority w:val="0"/>
    <w:rPr>
      <w:rFonts w:eastAsia="@仿宋_GB2312"/>
      <w:kern w:val="2"/>
      <w:sz w:val="18"/>
      <w:szCs w:val="18"/>
      <w:lang w:val="en-US" w:bidi="ar-SA" w:eastAsia="zh-CN"/>
    </w:rPr>
  </w:style>
  <w:style w:type="character" w:customStyle="1" w:styleId="style4099">
    <w:name w:val="批注文字 字符"/>
    <w:next w:val="style4099"/>
    <w:link w:val="style30"/>
    <w:qFormat/>
    <w:uiPriority w:val="99"/>
    <w:rPr>
      <w:kern w:val="2"/>
      <w:sz w:val="21"/>
      <w:szCs w:val="24"/>
    </w:rPr>
  </w:style>
  <w:style w:type="character" w:customStyle="1" w:styleId="style4100">
    <w:name w:val="批注主题 字符"/>
    <w:next w:val="style4100"/>
    <w:link w:val="style106"/>
    <w:qFormat/>
    <w:uiPriority w:val="99"/>
    <w:rPr>
      <w:b/>
      <w:bCs/>
      <w:kern w:val="2"/>
      <w:sz w:val="21"/>
      <w:szCs w:val="24"/>
    </w:rPr>
  </w:style>
  <w:style w:type="character" w:customStyle="1" w:styleId="style4101">
    <w:name w:val="正文文本缩进 字符"/>
    <w:next w:val="style4101"/>
    <w:link w:val="style67"/>
    <w:qFormat/>
    <w:uiPriority w:val="0"/>
    <w:rPr>
      <w:rFonts w:ascii="@仿宋_GB2312" w:eastAsia="@仿宋_GB2312"/>
      <w:kern w:val="2"/>
      <w:sz w:val="24"/>
      <w:szCs w:val="24"/>
      <w:lang w:val="en-US" w:bidi="ar-SA" w:eastAsia="zh-CN"/>
    </w:rPr>
  </w:style>
  <w:style w:type="paragraph" w:customStyle="1" w:styleId="style4102">
    <w:name w:val="100"/>
    <w:basedOn w:val="style0"/>
    <w:next w:val="style4102"/>
    <w:qFormat/>
    <w:uiPriority w:val="0"/>
    <w:pPr>
      <w:ind w:left="312" w:firstLine="200" w:firstLineChars="200"/>
      <w:outlineLvl w:val="0"/>
    </w:pPr>
    <w:rPr>
      <w:sz w:val="28"/>
    </w:rPr>
  </w:style>
  <w:style w:type="paragraph" w:customStyle="1" w:styleId="style4103">
    <w:name w:val="列出段落1"/>
    <w:basedOn w:val="style0"/>
    <w:next w:val="style4103"/>
    <w:qFormat/>
    <w:uiPriority w:val="34"/>
    <w:pPr>
      <w:ind w:firstLine="420" w:firstLineChars="200"/>
    </w:pPr>
    <w:rPr/>
  </w:style>
  <w:style w:type="paragraph" w:customStyle="1" w:styleId="style4104">
    <w:name w:val="xl51"/>
    <w:basedOn w:val="style0"/>
    <w:next w:val="style4104"/>
    <w:qFormat/>
    <w:uiPriority w:val="0"/>
    <w:pPr>
      <w:widowControl/>
      <w:pBdr>
        <w:left w:val="single" w:sz="4" w:space="0" w:color="auto"/>
        <w:right w:val="single" w:sz="4" w:space="0" w:color="auto"/>
      </w:pBdr>
      <w:spacing w:before="100" w:beforeAutospacing="true" w:after="100" w:afterAutospacing="true"/>
      <w:jc w:val="center"/>
      <w:textAlignment w:val="top"/>
    </w:pPr>
    <w:rPr>
      <w:kern w:val="0"/>
      <w:szCs w:val="21"/>
    </w:rPr>
  </w:style>
  <w:style w:type="paragraph" w:styleId="style179">
    <w:name w:val="List Paragraph"/>
    <w:basedOn w:val="style0"/>
    <w:next w:val="style179"/>
    <w:qFormat/>
    <w:uiPriority w:val="99"/>
    <w:pPr>
      <w:ind w:firstLine="420" w:firstLineChars="200"/>
    </w:pPr>
    <w:rPr/>
  </w:style>
  <w:style w:type="character" w:customStyle="1" w:styleId="style4105">
    <w:name w:val="font21"/>
    <w:basedOn w:val="style65"/>
    <w:next w:val="style4105"/>
    <w:qFormat/>
    <w:uiPriority w:val="0"/>
    <w:rPr>
      <w:rFonts w:ascii="宋体" w:cs="宋体" w:eastAsia="宋体" w:hAnsi="宋体" w:hint="eastAsia"/>
      <w:color w:val="000000"/>
      <w:sz w:val="18"/>
      <w:szCs w:val="18"/>
      <w:u w:val="non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footer" Target="footer3.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Words>27323</Words>
  <Pages>30</Pages>
  <Characters>29211</Characters>
  <Application>WPS Office</Application>
  <DocSecurity>0</DocSecurity>
  <Paragraphs>2166</Paragraphs>
  <ScaleCrop>false</ScaleCrop>
  <Company>Microsoft</Company>
  <LinksUpToDate>false</LinksUpToDate>
  <CharactersWithSpaces>29278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2020-06-01T00:39:00Z</dcterms:created>
  <dc:creator>微软用户</dc:creator>
  <lastModifiedBy>DBR-W10</lastModifiedBy>
  <lastPrinted>2021-06-21T02:30:00Z</lastPrinted>
  <dcterms:modified xsi:type="dcterms:W3CDTF">2024-08-20T03:22:19Z</dcterms:modified>
  <revision>138</revision>
  <dc:title>江西工业贸易职业技术学院2011级</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ab467be8ed374da895ed9b027b337ebd_23</vt:lpwstr>
  </property>
</Properties>
</file>